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51BA1" w14:textId="2A3C2352" w:rsidR="00F654B6" w:rsidRPr="00F654B6" w:rsidRDefault="00F654B6" w:rsidP="00F654B6">
      <w:pPr>
        <w:rPr>
          <w:b/>
          <w:bCs/>
        </w:rPr>
      </w:pPr>
      <w:r w:rsidRPr="00F654B6">
        <w:rPr>
          <w:b/>
          <w:bCs/>
        </w:rPr>
        <w:t>101</w:t>
      </w:r>
      <w:r w:rsidR="00B3120E">
        <w:rPr>
          <w:b/>
          <w:bCs/>
        </w:rPr>
        <w:t xml:space="preserve">4 </w:t>
      </w:r>
      <w:r w:rsidRPr="00F654B6">
        <w:rPr>
          <w:b/>
          <w:bCs/>
        </w:rPr>
        <w:t>Constitutional Challenges to Code of Civil Procedure Section 170.6 Motions</w:t>
      </w:r>
    </w:p>
    <w:p w14:paraId="3A81A85C" w14:textId="77777777" w:rsidR="00F654B6" w:rsidRPr="00F654B6" w:rsidRDefault="00F654B6" w:rsidP="00F654B6"/>
    <w:p w14:paraId="1B24A618" w14:textId="77777777" w:rsidR="00F654B6" w:rsidRPr="00F654B6" w:rsidRDefault="00F654B6" w:rsidP="00F654B6">
      <w:pPr>
        <w:rPr>
          <w:b/>
          <w:bCs/>
        </w:rPr>
      </w:pPr>
      <w:r w:rsidRPr="00F654B6">
        <w:rPr>
          <w:b/>
          <w:bCs/>
        </w:rPr>
        <w:t>(a)</w:t>
      </w:r>
      <w:r w:rsidRPr="00F654B6">
        <w:rPr>
          <w:b/>
          <w:bCs/>
        </w:rPr>
        <w:tab/>
        <w:t>Application</w:t>
      </w:r>
    </w:p>
    <w:p w14:paraId="6804A3EF" w14:textId="77777777" w:rsidR="00F654B6" w:rsidRPr="00F654B6" w:rsidRDefault="00F654B6" w:rsidP="00F654B6">
      <w:r w:rsidRPr="00F654B6">
        <w:tab/>
        <w:t xml:space="preserve">This rule applies to motions made pursuant to Code of Civil Procedure section 170.6, in all cases to which that section applies, challenged on the grounds that the section 170.6 motion constitutes an unconstitutional “blanket challenge” within the meaning of </w:t>
      </w:r>
      <w:r w:rsidRPr="00F654B6">
        <w:rPr>
          <w:i/>
          <w:iCs/>
        </w:rPr>
        <w:t>J.O. v. Superior Court</w:t>
      </w:r>
      <w:r w:rsidRPr="00F654B6">
        <w:t xml:space="preserve"> (2026) 19 Cal.5th 753 (“</w:t>
      </w:r>
      <w:r w:rsidRPr="00F654B6">
        <w:rPr>
          <w:i/>
          <w:iCs/>
        </w:rPr>
        <w:t>J.O. v. Superior Court</w:t>
      </w:r>
      <w:r w:rsidRPr="00F654B6">
        <w:t>”). This rule does not limit the powers and duties of the court otherwise applicable to section 170.6 motions.</w:t>
      </w:r>
    </w:p>
    <w:p w14:paraId="1511F107" w14:textId="77777777" w:rsidR="00F654B6" w:rsidRPr="00F654B6" w:rsidRDefault="00F654B6" w:rsidP="00F654B6"/>
    <w:p w14:paraId="6C584DEA" w14:textId="77777777" w:rsidR="00F654B6" w:rsidRPr="00F654B6" w:rsidRDefault="00F654B6" w:rsidP="00F654B6">
      <w:pPr>
        <w:rPr>
          <w:b/>
          <w:bCs/>
        </w:rPr>
      </w:pPr>
      <w:r w:rsidRPr="00F654B6">
        <w:rPr>
          <w:b/>
          <w:bCs/>
        </w:rPr>
        <w:t>(b)</w:t>
      </w:r>
      <w:r w:rsidRPr="00F654B6">
        <w:rPr>
          <w:b/>
          <w:bCs/>
        </w:rPr>
        <w:tab/>
        <w:t>Definitions</w:t>
      </w:r>
    </w:p>
    <w:p w14:paraId="12B208F0" w14:textId="77777777" w:rsidR="00F654B6" w:rsidRPr="00F654B6" w:rsidRDefault="00F654B6" w:rsidP="00F654B6">
      <w:r w:rsidRPr="00F654B6">
        <w:tab/>
        <w:t>(1)</w:t>
      </w:r>
      <w:r w:rsidRPr="00F654B6">
        <w:tab/>
        <w:t>“Section 170.6 Motion” means a motion made pursuant to Code of Civil Procedure section 170.6.</w:t>
      </w:r>
    </w:p>
    <w:p w14:paraId="530DADA3" w14:textId="77777777" w:rsidR="00F654B6" w:rsidRPr="00F654B6" w:rsidRDefault="00F654B6" w:rsidP="00F654B6">
      <w:r w:rsidRPr="00F654B6">
        <w:tab/>
        <w:t>(2)</w:t>
      </w:r>
      <w:r w:rsidRPr="00F654B6">
        <w:tab/>
        <w:t>“Challenged Judge” means the judge challenged by the section 170.6 motion.</w:t>
      </w:r>
    </w:p>
    <w:p w14:paraId="4ECB26DF" w14:textId="77777777" w:rsidR="00F654B6" w:rsidRPr="00F654B6" w:rsidRDefault="00F654B6" w:rsidP="00F654B6">
      <w:r w:rsidRPr="00F654B6">
        <w:tab/>
        <w:t>(3)</w:t>
      </w:r>
      <w:r w:rsidRPr="00F654B6">
        <w:tab/>
        <w:t xml:space="preserve">“Objection” means the written objections or motion for reconsideration filed to assert that the section 170.6 motion constitutes part of an unconstitutional “blanket challenge” within the meaning of </w:t>
      </w:r>
      <w:r w:rsidRPr="00F654B6">
        <w:rPr>
          <w:i/>
          <w:iCs/>
        </w:rPr>
        <w:t>J.O. v. Superior Court</w:t>
      </w:r>
      <w:r w:rsidRPr="00F654B6">
        <w:t>.</w:t>
      </w:r>
    </w:p>
    <w:p w14:paraId="629F1EFD" w14:textId="77777777" w:rsidR="00F654B6" w:rsidRPr="00F654B6" w:rsidRDefault="00F654B6" w:rsidP="00F654B6">
      <w:r w:rsidRPr="00F654B6">
        <w:tab/>
        <w:t>(4)</w:t>
      </w:r>
      <w:r w:rsidRPr="00F654B6">
        <w:tab/>
        <w:t>“Assigned Judge” means the judge assigned by the Presiding Judge under this rule to resolve the merits of the Objection.</w:t>
      </w:r>
    </w:p>
    <w:p w14:paraId="0D74B1EB" w14:textId="77777777" w:rsidR="00F654B6" w:rsidRPr="00F654B6" w:rsidRDefault="00F654B6" w:rsidP="00F654B6">
      <w:pPr>
        <w:rPr>
          <w:b/>
          <w:bCs/>
        </w:rPr>
      </w:pPr>
    </w:p>
    <w:p w14:paraId="50DA4E53" w14:textId="77777777" w:rsidR="00F654B6" w:rsidRPr="00F654B6" w:rsidRDefault="00F654B6" w:rsidP="00F654B6">
      <w:pPr>
        <w:rPr>
          <w:b/>
          <w:bCs/>
        </w:rPr>
      </w:pPr>
      <w:r w:rsidRPr="00F654B6">
        <w:rPr>
          <w:b/>
          <w:bCs/>
        </w:rPr>
        <w:t>(c)</w:t>
      </w:r>
      <w:r w:rsidRPr="00F654B6">
        <w:rPr>
          <w:b/>
          <w:bCs/>
        </w:rPr>
        <w:tab/>
        <w:t>Timeliness</w:t>
      </w:r>
    </w:p>
    <w:p w14:paraId="61FBAAB4" w14:textId="77777777" w:rsidR="00F654B6" w:rsidRPr="00F654B6" w:rsidRDefault="00F654B6" w:rsidP="00F654B6">
      <w:r w:rsidRPr="00F654B6">
        <w:tab/>
        <w:t>A challenge to a Section 170.6 Motion shall be made as promptly as feasible after notice of the Section 170.6 Motion, but in no event shall such challenge be made later than 10 days after service upon the party of written notice of case reassignment pursuant to the Section 170.6 Motion. If notice of reassignment has not been entered, a party making a challenge shall immediately give oral notice to the court and to all parties that a challenge will be filed.</w:t>
      </w:r>
    </w:p>
    <w:p w14:paraId="0ED0B274" w14:textId="77777777" w:rsidR="00F654B6" w:rsidRPr="00F654B6" w:rsidRDefault="00F654B6" w:rsidP="00F654B6"/>
    <w:p w14:paraId="775AD7AA" w14:textId="77777777" w:rsidR="00F654B6" w:rsidRPr="00F654B6" w:rsidRDefault="00F654B6" w:rsidP="00F654B6">
      <w:pPr>
        <w:rPr>
          <w:b/>
          <w:bCs/>
        </w:rPr>
      </w:pPr>
      <w:r w:rsidRPr="00F654B6">
        <w:rPr>
          <w:b/>
          <w:bCs/>
        </w:rPr>
        <w:t>(d)</w:t>
      </w:r>
      <w:r w:rsidRPr="00F654B6">
        <w:rPr>
          <w:b/>
          <w:bCs/>
        </w:rPr>
        <w:tab/>
        <w:t>Procedure for Challenge</w:t>
      </w:r>
    </w:p>
    <w:p w14:paraId="7310988E" w14:textId="77777777" w:rsidR="00F654B6" w:rsidRPr="00F654B6" w:rsidRDefault="00F654B6" w:rsidP="00F654B6">
      <w:r w:rsidRPr="00F654B6">
        <w:tab/>
        <w:t>(1)</w:t>
      </w:r>
      <w:r w:rsidRPr="00F654B6">
        <w:tab/>
        <w:t>Any party, or the court on its own motion, may challenge a Section 170.6 Motion on the grounds that the Section 170.6 Motion is part of an unconstitutional blanket challenge by filing an Objection. The Objection shall be in the form of written objections to, or a motion for reconsideration of, the Section 170.6 Motion. The Objection shall set forth facts, supported by declaration or other evidence, demonstrating a prima facie case that the Section 170.6 Motion’s proponent is lodging bad faith blanket challenges against a particular judge.</w:t>
      </w:r>
    </w:p>
    <w:p w14:paraId="5EB96CE8" w14:textId="77777777" w:rsidR="00F654B6" w:rsidRPr="00F654B6" w:rsidRDefault="00F654B6" w:rsidP="00F654B6">
      <w:r w:rsidRPr="00F654B6">
        <w:tab/>
        <w:t>(2)</w:t>
      </w:r>
      <w:r w:rsidRPr="00F654B6">
        <w:tab/>
        <w:t>The Challenged Judge shall consider the Objection and shall promptly do one of the following: (</w:t>
      </w:r>
      <w:proofErr w:type="spellStart"/>
      <w:r w:rsidRPr="00F654B6">
        <w:t>i</w:t>
      </w:r>
      <w:proofErr w:type="spellEnd"/>
      <w:r w:rsidRPr="00F654B6">
        <w:t xml:space="preserve">) strike the Objection if the Objection on its face discloses no legal grounds for a constitutional challenge to the Section 170.6 Motion; (ii) determine whether the Objection demonstrates a prima facie case as set forth in </w:t>
      </w:r>
      <w:r w:rsidRPr="00F654B6">
        <w:rPr>
          <w:i/>
          <w:iCs/>
        </w:rPr>
        <w:t>J.O. v. Superior Court</w:t>
      </w:r>
      <w:r w:rsidRPr="00F654B6">
        <w:t xml:space="preserve">; (iii) decline to determine whether the Objection demonstrates a prima facie case because such determination is too intertwined with the merits of the Objection; or (iv) take such other action as is appropriate for a </w:t>
      </w:r>
      <w:r w:rsidRPr="00F654B6">
        <w:lastRenderedPageBreak/>
        <w:t>Section 170.6 notwithstanding this local rule. If the Challenged Judge strikes the Objection or determines that no prima facie case has been demonstrated, the Section 170.6 Motion shall be accepted and the matter reassigned.</w:t>
      </w:r>
    </w:p>
    <w:p w14:paraId="0A93DAB9" w14:textId="77777777" w:rsidR="00F654B6" w:rsidRPr="00F654B6" w:rsidRDefault="00F654B6" w:rsidP="00F654B6">
      <w:r w:rsidRPr="00F654B6">
        <w:tab/>
        <w:t>(3)</w:t>
      </w:r>
      <w:r w:rsidRPr="00F654B6">
        <w:tab/>
        <w:t>If the Challenged Judge determines that a prima facie case has been demonstrated or declines to make such determination, the Challenged Judge shall refer the Section 170.6 Motion and Objection to the Presiding Judge for further disposition. The Presiding Judge may assign any judge, other than the Challenged Judge, as the Assigned Judge to resolve the merits of the challenge to the Section 170.6 Motion.</w:t>
      </w:r>
    </w:p>
    <w:p w14:paraId="653AA7E6" w14:textId="77777777" w:rsidR="00F654B6" w:rsidRPr="00F654B6" w:rsidRDefault="00F654B6" w:rsidP="00F654B6">
      <w:r w:rsidRPr="00F654B6">
        <w:tab/>
        <w:t>(4)</w:t>
      </w:r>
      <w:r w:rsidRPr="00F654B6">
        <w:tab/>
        <w:t xml:space="preserve">The Assigned Judge shall determine whether a prima facie case has been demonstrated, if such determination was not made by the Challenged Judge. Upon finding that a prima facie case has been demonstrated, the Assigned Judge shall promptly conduct a hearing on the merits of the Objection consistent with the requirements of </w:t>
      </w:r>
      <w:r w:rsidRPr="00F654B6">
        <w:rPr>
          <w:i/>
          <w:iCs/>
        </w:rPr>
        <w:t>J.O. v. Superior Court</w:t>
      </w:r>
      <w:r w:rsidRPr="00F654B6">
        <w:t>.</w:t>
      </w:r>
    </w:p>
    <w:p w14:paraId="16480158" w14:textId="77777777" w:rsidR="00F654B6" w:rsidRPr="00F654B6" w:rsidRDefault="00F654B6" w:rsidP="00F654B6"/>
    <w:p w14:paraId="1C1D282E" w14:textId="77777777" w:rsidR="002E00C0" w:rsidRDefault="002E00C0"/>
    <w:sectPr w:rsidR="002E0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4B6"/>
    <w:rsid w:val="00221F36"/>
    <w:rsid w:val="002D0FB9"/>
    <w:rsid w:val="002E00C0"/>
    <w:rsid w:val="0030257C"/>
    <w:rsid w:val="00324E31"/>
    <w:rsid w:val="00347CFD"/>
    <w:rsid w:val="0048131F"/>
    <w:rsid w:val="004D32A9"/>
    <w:rsid w:val="009C30CC"/>
    <w:rsid w:val="00A53E4A"/>
    <w:rsid w:val="00B3120E"/>
    <w:rsid w:val="00F65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67927"/>
  <w15:chartTrackingRefBased/>
  <w15:docId w15:val="{C0DA154B-3E6D-4BC1-B722-2D99EDD2F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2A9"/>
    <w:pPr>
      <w:spacing w:after="0" w:line="240" w:lineRule="auto"/>
      <w:contextualSpacing/>
    </w:pPr>
    <w:rPr>
      <w:rFonts w:ascii="Century Schoolbook" w:hAnsi="Century Schoolbook" w:cs="Times New Roman"/>
      <w:sz w:val="24"/>
      <w:szCs w:val="24"/>
    </w:rPr>
  </w:style>
  <w:style w:type="paragraph" w:styleId="Heading1">
    <w:name w:val="heading 1"/>
    <w:basedOn w:val="Normal"/>
    <w:next w:val="Normal"/>
    <w:link w:val="Heading1Char"/>
    <w:uiPriority w:val="9"/>
    <w:qFormat/>
    <w:rsid w:val="00F65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4B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4B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54B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54B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54B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54B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54B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1F36"/>
    <w:pPr>
      <w:autoSpaceDE w:val="0"/>
      <w:autoSpaceDN w:val="0"/>
      <w:adjustRightInd w:val="0"/>
      <w:spacing w:after="0" w:line="240" w:lineRule="auto"/>
    </w:pPr>
    <w:rPr>
      <w:rFonts w:ascii="Century Schoolbook" w:hAnsi="Century Schoolbook" w:cs="Times New Roman"/>
      <w:color w:val="000000"/>
      <w:sz w:val="24"/>
      <w:szCs w:val="24"/>
    </w:rPr>
  </w:style>
  <w:style w:type="character" w:customStyle="1" w:styleId="Heading1Char">
    <w:name w:val="Heading 1 Char"/>
    <w:basedOn w:val="DefaultParagraphFont"/>
    <w:link w:val="Heading1"/>
    <w:uiPriority w:val="9"/>
    <w:rsid w:val="00F65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4B6"/>
    <w:rPr>
      <w:rFonts w:eastAsiaTheme="majorEastAsia" w:cstheme="majorBidi"/>
      <w:i/>
      <w:iCs/>
      <w:color w:val="0F4761" w:themeColor="accent1" w:themeShade="BF"/>
      <w:sz w:val="24"/>
      <w:szCs w:val="24"/>
    </w:rPr>
  </w:style>
  <w:style w:type="character" w:customStyle="1" w:styleId="Heading5Char">
    <w:name w:val="Heading 5 Char"/>
    <w:basedOn w:val="DefaultParagraphFont"/>
    <w:link w:val="Heading5"/>
    <w:uiPriority w:val="9"/>
    <w:semiHidden/>
    <w:rsid w:val="00F654B6"/>
    <w:rPr>
      <w:rFonts w:eastAsiaTheme="majorEastAsia"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F654B6"/>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F654B6"/>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F654B6"/>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F654B6"/>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F654B6"/>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4B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4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4B6"/>
    <w:rPr>
      <w:rFonts w:ascii="Century Schoolbook" w:hAnsi="Century Schoolbook" w:cs="Times New Roman"/>
      <w:i/>
      <w:iCs/>
      <w:color w:val="404040" w:themeColor="text1" w:themeTint="BF"/>
      <w:sz w:val="24"/>
      <w:szCs w:val="24"/>
    </w:rPr>
  </w:style>
  <w:style w:type="paragraph" w:styleId="ListParagraph">
    <w:name w:val="List Paragraph"/>
    <w:basedOn w:val="Normal"/>
    <w:uiPriority w:val="34"/>
    <w:qFormat/>
    <w:rsid w:val="00F654B6"/>
    <w:pPr>
      <w:ind w:left="720"/>
    </w:pPr>
  </w:style>
  <w:style w:type="character" w:styleId="IntenseEmphasis">
    <w:name w:val="Intense Emphasis"/>
    <w:basedOn w:val="DefaultParagraphFont"/>
    <w:uiPriority w:val="21"/>
    <w:qFormat/>
    <w:rsid w:val="00F654B6"/>
    <w:rPr>
      <w:i/>
      <w:iCs/>
      <w:color w:val="0F4761" w:themeColor="accent1" w:themeShade="BF"/>
    </w:rPr>
  </w:style>
  <w:style w:type="paragraph" w:styleId="IntenseQuote">
    <w:name w:val="Intense Quote"/>
    <w:basedOn w:val="Normal"/>
    <w:next w:val="Normal"/>
    <w:link w:val="IntenseQuoteChar"/>
    <w:uiPriority w:val="30"/>
    <w:qFormat/>
    <w:rsid w:val="00F65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4B6"/>
    <w:rPr>
      <w:rFonts w:ascii="Century Schoolbook" w:hAnsi="Century Schoolbook" w:cs="Times New Roman"/>
      <w:i/>
      <w:iCs/>
      <w:color w:val="0F4761" w:themeColor="accent1" w:themeShade="BF"/>
      <w:sz w:val="24"/>
      <w:szCs w:val="24"/>
    </w:rPr>
  </w:style>
  <w:style w:type="character" w:styleId="IntenseReference">
    <w:name w:val="Intense Reference"/>
    <w:basedOn w:val="DefaultParagraphFont"/>
    <w:uiPriority w:val="32"/>
    <w:qFormat/>
    <w:rsid w:val="00F654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3149</Characters>
  <Application>Microsoft Office Word</Application>
  <DocSecurity>4</DocSecurity>
  <Lines>26</Lines>
  <Paragraphs>7</Paragraphs>
  <ScaleCrop>false</ScaleCrop>
  <Company>County of Santa Barbara Superior Courts</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Paul</dc:creator>
  <cp:keywords/>
  <dc:description/>
  <cp:lastModifiedBy>Baksh, Narzralli</cp:lastModifiedBy>
  <cp:revision>2</cp:revision>
  <dcterms:created xsi:type="dcterms:W3CDTF">2026-10-02T23:04:00Z</dcterms:created>
  <dcterms:modified xsi:type="dcterms:W3CDTF">2026-10-02T23:04:00Z</dcterms:modified>
</cp:coreProperties>
</file>