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909885" w14:textId="662952B2" w:rsidR="00FF37CF" w:rsidRDefault="00352365">
      <w:pPr>
        <w:pStyle w:val="BodyText"/>
        <w:spacing w:before="10"/>
        <w:ind w:left="0" w:firstLine="0"/>
        <w:rPr>
          <w:rFonts w:ascii="Times New Roman"/>
          <w:sz w:val="28"/>
        </w:rPr>
      </w:pPr>
      <w:r>
        <w:rPr>
          <w:noProof/>
        </w:rPr>
        <w:drawing>
          <wp:anchor distT="0" distB="0" distL="114300" distR="114300" simplePos="0" relativeHeight="251659776" behindDoc="1" locked="0" layoutInCell="1" allowOverlap="1" wp14:anchorId="5A567212" wp14:editId="16275940">
            <wp:simplePos x="0" y="0"/>
            <wp:positionH relativeFrom="margin">
              <wp:align>left</wp:align>
            </wp:positionH>
            <wp:positionV relativeFrom="paragraph">
              <wp:posOffset>-290195</wp:posOffset>
            </wp:positionV>
            <wp:extent cx="3189732" cy="122682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89732" cy="1226820"/>
                    </a:xfrm>
                    <a:prstGeom prst="rect">
                      <a:avLst/>
                    </a:prstGeom>
                    <a:noFill/>
                  </pic:spPr>
                </pic:pic>
              </a:graphicData>
            </a:graphic>
            <wp14:sizeRelH relativeFrom="margin">
              <wp14:pctWidth>0</wp14:pctWidth>
            </wp14:sizeRelH>
            <wp14:sizeRelV relativeFrom="margin">
              <wp14:pctHeight>0</wp14:pctHeight>
            </wp14:sizeRelV>
          </wp:anchor>
        </w:drawing>
      </w:r>
    </w:p>
    <w:p w14:paraId="18909886" w14:textId="30A3BE32" w:rsidR="00FF37CF" w:rsidRDefault="00FF37CF" w:rsidP="005041EC">
      <w:pPr>
        <w:pStyle w:val="Heading1"/>
        <w:spacing w:before="56"/>
        <w:ind w:left="5297" w:right="80" w:hanging="586"/>
        <w:jc w:val="center"/>
        <w:rPr>
          <w:color w:val="4471C4"/>
          <w:sz w:val="28"/>
          <w:szCs w:val="28"/>
        </w:rPr>
      </w:pPr>
    </w:p>
    <w:p w14:paraId="49C7BB85" w14:textId="77777777" w:rsidR="005041EC" w:rsidRPr="005041EC" w:rsidRDefault="005041EC" w:rsidP="005041EC">
      <w:pPr>
        <w:pStyle w:val="Heading1"/>
        <w:spacing w:before="56"/>
        <w:ind w:left="5297" w:right="80" w:hanging="586"/>
        <w:jc w:val="center"/>
        <w:rPr>
          <w:color w:val="4471C4"/>
          <w:sz w:val="28"/>
          <w:szCs w:val="28"/>
        </w:rPr>
      </w:pPr>
    </w:p>
    <w:p w14:paraId="18909887" w14:textId="77777777" w:rsidR="00FF37CF" w:rsidRDefault="00FF37CF">
      <w:pPr>
        <w:pStyle w:val="BodyText"/>
        <w:ind w:left="0" w:firstLine="0"/>
        <w:rPr>
          <w:b/>
          <w:sz w:val="20"/>
        </w:rPr>
      </w:pPr>
    </w:p>
    <w:p w14:paraId="18909888" w14:textId="77777777" w:rsidR="00FF37CF" w:rsidRDefault="00FF37CF">
      <w:pPr>
        <w:pStyle w:val="BodyText"/>
        <w:ind w:left="0" w:firstLine="0"/>
        <w:rPr>
          <w:b/>
          <w:sz w:val="20"/>
        </w:rPr>
      </w:pPr>
    </w:p>
    <w:p w14:paraId="1890988A" w14:textId="77777777" w:rsidR="00FF37CF" w:rsidRDefault="00A81215">
      <w:pPr>
        <w:spacing w:before="45"/>
        <w:ind w:left="282"/>
        <w:jc w:val="center"/>
        <w:rPr>
          <w:b/>
          <w:sz w:val="28"/>
        </w:rPr>
      </w:pPr>
      <w:r>
        <w:rPr>
          <w:b/>
          <w:color w:val="FFFFFF"/>
          <w:sz w:val="28"/>
          <w:shd w:val="clear" w:color="auto" w:fill="000000"/>
        </w:rPr>
        <w:t>BILLING GUIDELINES</w:t>
      </w:r>
    </w:p>
    <w:p w14:paraId="1890988B" w14:textId="17639925" w:rsidR="00FF37CF" w:rsidRDefault="00A73825">
      <w:pPr>
        <w:pStyle w:val="BodyText"/>
        <w:spacing w:before="3"/>
        <w:ind w:left="0" w:firstLine="0"/>
        <w:rPr>
          <w:b/>
          <w:sz w:val="12"/>
        </w:rPr>
      </w:pPr>
      <w:r>
        <w:rPr>
          <w:noProof/>
        </w:rPr>
        <mc:AlternateContent>
          <mc:Choice Requires="wps">
            <w:drawing>
              <wp:anchor distT="0" distB="0" distL="0" distR="0" simplePos="0" relativeHeight="251657728" behindDoc="1" locked="0" layoutInCell="1" allowOverlap="1" wp14:anchorId="189098D1" wp14:editId="54107BA0">
                <wp:simplePos x="0" y="0"/>
                <wp:positionH relativeFrom="page">
                  <wp:posOffset>896620</wp:posOffset>
                </wp:positionH>
                <wp:positionV relativeFrom="paragraph">
                  <wp:posOffset>122555</wp:posOffset>
                </wp:positionV>
                <wp:extent cx="5981065" cy="1270"/>
                <wp:effectExtent l="0" t="0" r="0" b="0"/>
                <wp:wrapTopAndBottom/>
                <wp:docPr id="1499996152"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81065" cy="1270"/>
                        </a:xfrm>
                        <a:custGeom>
                          <a:avLst/>
                          <a:gdLst>
                            <a:gd name="T0" fmla="+- 0 1412 1412"/>
                            <a:gd name="T1" fmla="*/ T0 w 9419"/>
                            <a:gd name="T2" fmla="+- 0 10831 1412"/>
                            <a:gd name="T3" fmla="*/ T2 w 9419"/>
                          </a:gdLst>
                          <a:ahLst/>
                          <a:cxnLst>
                            <a:cxn ang="0">
                              <a:pos x="T1" y="0"/>
                            </a:cxn>
                            <a:cxn ang="0">
                              <a:pos x="T3" y="0"/>
                            </a:cxn>
                          </a:cxnLst>
                          <a:rect l="0" t="0" r="r" b="b"/>
                          <a:pathLst>
                            <a:path w="9419">
                              <a:moveTo>
                                <a:pt x="0" y="0"/>
                              </a:moveTo>
                              <a:lnTo>
                                <a:pt x="9419"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A7C372" id="Freeform 4" o:spid="_x0000_s1026" style="position:absolute;margin-left:70.6pt;margin-top:9.65pt;width:470.95pt;height:.1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41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" path="m,l9419,e" filled="f" strokeweight=".48pt">
                <v:path arrowok="t" o:connecttype="custom" o:connectlocs="0,0;5981065,0" o:connectangles="0,0"/>
                <w10:wrap type="topAndBottom" anchorx="page"/>
              </v:shape>
            </w:pict>
          </mc:Fallback>
        </mc:AlternateContent>
      </w:r>
    </w:p>
    <w:p w14:paraId="1890988C" w14:textId="1C47C2A1" w:rsidR="00FF37CF" w:rsidRDefault="00A81215">
      <w:pPr>
        <w:tabs>
          <w:tab w:val="left" w:pos="6784"/>
        </w:tabs>
        <w:spacing w:after="45"/>
        <w:ind w:left="303"/>
        <w:jc w:val="center"/>
        <w:rPr>
          <w:b/>
        </w:rPr>
      </w:pPr>
      <w:r>
        <w:rPr>
          <w:b/>
          <w:sz w:val="28"/>
        </w:rPr>
        <w:t>COURT APPOINTED COUNSEL PURSUANT TO</w:t>
      </w:r>
      <w:r>
        <w:rPr>
          <w:b/>
          <w:spacing w:val="-13"/>
          <w:sz w:val="28"/>
        </w:rPr>
        <w:t xml:space="preserve"> </w:t>
      </w:r>
      <w:r>
        <w:rPr>
          <w:b/>
          <w:sz w:val="28"/>
        </w:rPr>
        <w:t>FC</w:t>
      </w:r>
      <w:r>
        <w:rPr>
          <w:b/>
          <w:spacing w:val="-2"/>
          <w:sz w:val="28"/>
        </w:rPr>
        <w:t xml:space="preserve"> </w:t>
      </w:r>
      <w:r>
        <w:rPr>
          <w:b/>
          <w:sz w:val="28"/>
        </w:rPr>
        <w:t>3150</w:t>
      </w:r>
      <w:r>
        <w:rPr>
          <w:b/>
          <w:sz w:val="28"/>
        </w:rPr>
        <w:tab/>
      </w:r>
      <w:r>
        <w:rPr>
          <w:b/>
          <w:color w:val="4471C4"/>
        </w:rPr>
        <w:t xml:space="preserve">Revised Date: </w:t>
      </w:r>
      <w:r w:rsidR="00557154">
        <w:rPr>
          <w:b/>
          <w:color w:val="FF0000"/>
        </w:rPr>
        <w:t>March</w:t>
      </w:r>
      <w:r>
        <w:rPr>
          <w:b/>
          <w:color w:val="FF0000"/>
        </w:rPr>
        <w:t xml:space="preserve"> 1</w:t>
      </w:r>
      <w:r w:rsidR="004538BB">
        <w:rPr>
          <w:b/>
          <w:color w:val="FF0000"/>
        </w:rPr>
        <w:t>2</w:t>
      </w:r>
      <w:r>
        <w:rPr>
          <w:b/>
          <w:color w:val="FF0000"/>
        </w:rPr>
        <w:t>,</w:t>
      </w:r>
      <w:r>
        <w:rPr>
          <w:b/>
          <w:color w:val="FF0000"/>
          <w:spacing w:val="-6"/>
        </w:rPr>
        <w:t xml:space="preserve"> </w:t>
      </w:r>
      <w:r>
        <w:rPr>
          <w:b/>
          <w:color w:val="FF0000"/>
        </w:rPr>
        <w:t>202</w:t>
      </w:r>
      <w:r w:rsidR="00F11C20">
        <w:rPr>
          <w:b/>
          <w:color w:val="FF0000"/>
        </w:rPr>
        <w:t>6</w:t>
      </w:r>
    </w:p>
    <w:p w14:paraId="1890988D" w14:textId="42763423" w:rsidR="00FF37CF" w:rsidRDefault="00A73825">
      <w:pPr>
        <w:pStyle w:val="BodyText"/>
        <w:spacing w:line="20" w:lineRule="exact"/>
        <w:ind w:left="446" w:firstLine="0"/>
        <w:rPr>
          <w:sz w:val="2"/>
        </w:rPr>
      </w:pPr>
      <w:r>
        <w:rPr>
          <w:noProof/>
          <w:sz w:val="2"/>
        </w:rPr>
        <mc:AlternateContent>
          <mc:Choice Requires="wpg">
            <w:drawing>
              <wp:inline distT="0" distB="0" distL="0" distR="0" wp14:anchorId="189098D2" wp14:editId="2B4CF596">
                <wp:extent cx="5981065" cy="6350"/>
                <wp:effectExtent l="0" t="0" r="0" b="0"/>
                <wp:docPr id="1601436438"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1065" cy="6350"/>
                          <a:chOff x="0" y="0"/>
                          <a:chExt cx="9419" cy="10"/>
                        </a:xfrm>
                      </wpg:grpSpPr>
                      <wps:wsp>
                        <wps:cNvPr id="1850411000" name="Line 3"/>
                        <wps:cNvCnPr>
                          <a:cxnSpLocks noChangeShapeType="1"/>
                        </wps:cNvCnPr>
                        <wps:spPr bwMode="auto">
                          <a:xfrm>
                            <a:off x="0" y="5"/>
                            <a:ext cx="9419"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18933F6" id="Group 2" o:spid="_x0000_s1026" style="width:470.95pt;height:.5pt;mso-position-horizontal-relative:char;mso-position-vertical-relative:line" coordsize="941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">
                <v:line id="Line 3" o:spid="_x0000_s1027" style="position:absolute;visibility:visible;mso-wrap-style:square" from="0,5" to="941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" strokeweight=".48pt"/>
                <w10:anchorlock/>
              </v:group>
            </w:pict>
          </mc:Fallback>
        </mc:AlternateContent>
      </w:r>
    </w:p>
    <w:p w14:paraId="1890988E" w14:textId="77777777" w:rsidR="00FF37CF" w:rsidRDefault="00FF37CF">
      <w:pPr>
        <w:pStyle w:val="BodyText"/>
        <w:ind w:left="0" w:firstLine="0"/>
        <w:rPr>
          <w:b/>
          <w:sz w:val="20"/>
        </w:rPr>
      </w:pPr>
    </w:p>
    <w:p w14:paraId="1890988F" w14:textId="77777777" w:rsidR="00FF37CF" w:rsidRDefault="00A81215">
      <w:pPr>
        <w:pStyle w:val="Heading1"/>
        <w:numPr>
          <w:ilvl w:val="0"/>
          <w:numId w:val="2"/>
        </w:numPr>
        <w:tabs>
          <w:tab w:val="left" w:pos="1201"/>
        </w:tabs>
        <w:spacing w:before="196"/>
        <w:ind w:hanging="361"/>
      </w:pPr>
      <w:r>
        <w:t>General</w:t>
      </w:r>
    </w:p>
    <w:p w14:paraId="18909890" w14:textId="0B389DB4" w:rsidR="00FF37CF" w:rsidRDefault="00A81215">
      <w:pPr>
        <w:pStyle w:val="ListParagraph"/>
        <w:numPr>
          <w:ilvl w:val="1"/>
          <w:numId w:val="2"/>
        </w:numPr>
        <w:tabs>
          <w:tab w:val="left" w:pos="1561"/>
        </w:tabs>
        <w:spacing w:before="22" w:line="259" w:lineRule="auto"/>
        <w:ind w:right="143"/>
      </w:pPr>
      <w:r>
        <w:rPr>
          <w:b/>
        </w:rPr>
        <w:t>Introduction</w:t>
      </w:r>
      <w:r>
        <w:t xml:space="preserve">. The guidelines set forth herein are for the Superior Court </w:t>
      </w:r>
      <w:r w:rsidR="00686490">
        <w:t xml:space="preserve">of </w:t>
      </w:r>
      <w:r w:rsidR="00F11C20">
        <w:t>Santa Barbar</w:t>
      </w:r>
      <w:r w:rsidR="004538BB">
        <w:t>a</w:t>
      </w:r>
      <w:r>
        <w:t xml:space="preserve"> (“Court”) and the private attorneys appointed by the Court to represent minors pursuant to Family Code section 3150</w:t>
      </w:r>
      <w:r>
        <w:rPr>
          <w:spacing w:val="-3"/>
        </w:rPr>
        <w:t xml:space="preserve"> </w:t>
      </w:r>
      <w:r>
        <w:t>(“Counsel”).</w:t>
      </w:r>
    </w:p>
    <w:p w14:paraId="18909891" w14:textId="77777777" w:rsidR="00FF37CF" w:rsidRDefault="00A81215">
      <w:pPr>
        <w:pStyle w:val="ListParagraph"/>
        <w:numPr>
          <w:ilvl w:val="1"/>
          <w:numId w:val="2"/>
        </w:numPr>
        <w:tabs>
          <w:tab w:val="left" w:pos="1561"/>
        </w:tabs>
        <w:spacing w:line="259" w:lineRule="auto"/>
        <w:ind w:right="957"/>
      </w:pPr>
      <w:r>
        <w:rPr>
          <w:b/>
        </w:rPr>
        <w:t>Purpose</w:t>
      </w:r>
      <w:r>
        <w:t>. The purpose of these guidelines is to create uniformity in attorney billing practices and to provide Counsel a framework within which to submit their</w:t>
      </w:r>
      <w:r>
        <w:rPr>
          <w:spacing w:val="-24"/>
        </w:rPr>
        <w:t xml:space="preserve"> </w:t>
      </w:r>
      <w:r>
        <w:t>billings.</w:t>
      </w:r>
    </w:p>
    <w:p w14:paraId="18909892" w14:textId="77777777" w:rsidR="00FF37CF" w:rsidRDefault="00A81215">
      <w:pPr>
        <w:pStyle w:val="Heading1"/>
        <w:numPr>
          <w:ilvl w:val="1"/>
          <w:numId w:val="2"/>
        </w:numPr>
        <w:tabs>
          <w:tab w:val="left" w:pos="1560"/>
          <w:tab w:val="left" w:pos="1561"/>
        </w:tabs>
        <w:ind w:hanging="361"/>
      </w:pPr>
      <w:r>
        <w:t>Terms and</w:t>
      </w:r>
      <w:r>
        <w:rPr>
          <w:spacing w:val="-2"/>
        </w:rPr>
        <w:t xml:space="preserve"> </w:t>
      </w:r>
      <w:r>
        <w:t>Conditions</w:t>
      </w:r>
    </w:p>
    <w:p w14:paraId="18909893" w14:textId="77777777" w:rsidR="00FF37CF" w:rsidRDefault="00A81215">
      <w:pPr>
        <w:pStyle w:val="ListParagraph"/>
        <w:numPr>
          <w:ilvl w:val="2"/>
          <w:numId w:val="2"/>
        </w:numPr>
        <w:tabs>
          <w:tab w:val="left" w:pos="1921"/>
        </w:tabs>
        <w:spacing w:before="22"/>
        <w:ind w:hanging="361"/>
      </w:pPr>
      <w:r>
        <w:t>The Court reserves the right to review all bills for accuracy and</w:t>
      </w:r>
      <w:r>
        <w:rPr>
          <w:spacing w:val="-7"/>
        </w:rPr>
        <w:t xml:space="preserve"> </w:t>
      </w:r>
      <w:r>
        <w:t>accountability.</w:t>
      </w:r>
    </w:p>
    <w:p w14:paraId="18909894" w14:textId="340C60C8" w:rsidR="00FF37CF" w:rsidRDefault="00A81215">
      <w:pPr>
        <w:pStyle w:val="ListParagraph"/>
        <w:numPr>
          <w:ilvl w:val="2"/>
          <w:numId w:val="2"/>
        </w:numPr>
        <w:tabs>
          <w:tab w:val="left" w:pos="1921"/>
        </w:tabs>
        <w:spacing w:before="19" w:line="259" w:lineRule="auto"/>
        <w:ind w:right="186"/>
      </w:pPr>
      <w:r>
        <w:t>Should any discrepancies arise between the billing of a file and the Trial Court’s recollection of the case, Court and Counsel will confer before final approval of the bill.</w:t>
      </w:r>
    </w:p>
    <w:p w14:paraId="18909895" w14:textId="003734E9" w:rsidR="00FF37CF" w:rsidRDefault="00A81215">
      <w:pPr>
        <w:pStyle w:val="ListParagraph"/>
        <w:numPr>
          <w:ilvl w:val="2"/>
          <w:numId w:val="2"/>
        </w:numPr>
        <w:tabs>
          <w:tab w:val="left" w:pos="1921"/>
        </w:tabs>
        <w:spacing w:before="1" w:line="259" w:lineRule="auto"/>
        <w:ind w:right="665"/>
      </w:pPr>
      <w:r>
        <w:t xml:space="preserve">Should billing irregularities persist with any </w:t>
      </w:r>
      <w:r w:rsidR="00A73825">
        <w:t>lawyer</w:t>
      </w:r>
      <w:r>
        <w:t xml:space="preserve"> or law firm, the Court reserves the right to remove the offending party from the appointments list after reasonable notice and opportunity to reform and follow the</w:t>
      </w:r>
      <w:r>
        <w:rPr>
          <w:spacing w:val="-8"/>
        </w:rPr>
        <w:t xml:space="preserve"> </w:t>
      </w:r>
      <w:r>
        <w:t>guidelines.</w:t>
      </w:r>
    </w:p>
    <w:p w14:paraId="18909896" w14:textId="77777777" w:rsidR="00FF37CF" w:rsidRDefault="00FF37CF">
      <w:pPr>
        <w:pStyle w:val="BodyText"/>
        <w:spacing w:before="6"/>
        <w:ind w:left="0" w:firstLine="0"/>
        <w:rPr>
          <w:sz w:val="23"/>
        </w:rPr>
      </w:pPr>
    </w:p>
    <w:p w14:paraId="18909897" w14:textId="77777777" w:rsidR="00FF37CF" w:rsidRDefault="00A81215">
      <w:pPr>
        <w:pStyle w:val="Heading1"/>
        <w:numPr>
          <w:ilvl w:val="0"/>
          <w:numId w:val="2"/>
        </w:numPr>
        <w:tabs>
          <w:tab w:val="left" w:pos="1201"/>
        </w:tabs>
        <w:ind w:right="752"/>
      </w:pPr>
      <w:r>
        <w:t>Appointment of Counsel to Represent a Child under Family Code section 3150 (CRC Rule 5.240)</w:t>
      </w:r>
    </w:p>
    <w:p w14:paraId="18909898" w14:textId="77777777" w:rsidR="00FF37CF" w:rsidRDefault="00A81215">
      <w:pPr>
        <w:pStyle w:val="ListParagraph"/>
        <w:numPr>
          <w:ilvl w:val="1"/>
          <w:numId w:val="2"/>
        </w:numPr>
        <w:tabs>
          <w:tab w:val="left" w:pos="1561"/>
        </w:tabs>
        <w:spacing w:before="1"/>
        <w:ind w:right="532"/>
      </w:pPr>
      <w:r>
        <w:rPr>
          <w:b/>
        </w:rPr>
        <w:t xml:space="preserve">Request for Appointment of </w:t>
      </w:r>
      <w:r>
        <w:t>Counsel. The court may appoint counsel to represent the best interest of a child in a family law proceeding on the court's own motion or if requested to do so</w:t>
      </w:r>
      <w:r>
        <w:rPr>
          <w:spacing w:val="23"/>
        </w:rPr>
        <w:t xml:space="preserve"> </w:t>
      </w:r>
      <w:r>
        <w:t>by:</w:t>
      </w:r>
    </w:p>
    <w:p w14:paraId="18909899" w14:textId="77777777" w:rsidR="00FF37CF" w:rsidRDefault="00A81215">
      <w:pPr>
        <w:pStyle w:val="ListParagraph"/>
        <w:numPr>
          <w:ilvl w:val="0"/>
          <w:numId w:val="1"/>
        </w:numPr>
        <w:tabs>
          <w:tab w:val="left" w:pos="1867"/>
        </w:tabs>
        <w:spacing w:before="1"/>
      </w:pPr>
      <w:r>
        <w:t>A</w:t>
      </w:r>
      <w:r>
        <w:rPr>
          <w:spacing w:val="4"/>
        </w:rPr>
        <w:t xml:space="preserve"> </w:t>
      </w:r>
      <w:r>
        <w:t>party;</w:t>
      </w:r>
    </w:p>
    <w:p w14:paraId="1890989A" w14:textId="77777777" w:rsidR="00FF37CF" w:rsidRDefault="00A81215">
      <w:pPr>
        <w:pStyle w:val="ListParagraph"/>
        <w:numPr>
          <w:ilvl w:val="0"/>
          <w:numId w:val="1"/>
        </w:numPr>
        <w:tabs>
          <w:tab w:val="left" w:pos="1867"/>
        </w:tabs>
      </w:pPr>
      <w:r>
        <w:t>The attorney for a</w:t>
      </w:r>
      <w:r>
        <w:rPr>
          <w:spacing w:val="19"/>
        </w:rPr>
        <w:t xml:space="preserve"> </w:t>
      </w:r>
      <w:r>
        <w:t>party;</w:t>
      </w:r>
    </w:p>
    <w:p w14:paraId="1890989B" w14:textId="77777777" w:rsidR="00FF37CF" w:rsidRDefault="00A81215">
      <w:pPr>
        <w:pStyle w:val="ListParagraph"/>
        <w:numPr>
          <w:ilvl w:val="0"/>
          <w:numId w:val="1"/>
        </w:numPr>
        <w:tabs>
          <w:tab w:val="left" w:pos="1867"/>
        </w:tabs>
      </w:pPr>
      <w:r>
        <w:t>The child, or any relative of the</w:t>
      </w:r>
      <w:r>
        <w:rPr>
          <w:spacing w:val="37"/>
        </w:rPr>
        <w:t xml:space="preserve"> </w:t>
      </w:r>
      <w:r>
        <w:t>child;</w:t>
      </w:r>
    </w:p>
    <w:p w14:paraId="1890989C" w14:textId="77777777" w:rsidR="00FF37CF" w:rsidRDefault="00A81215">
      <w:pPr>
        <w:pStyle w:val="ListParagraph"/>
        <w:numPr>
          <w:ilvl w:val="0"/>
          <w:numId w:val="1"/>
        </w:numPr>
        <w:tabs>
          <w:tab w:val="left" w:pos="1867"/>
        </w:tabs>
      </w:pPr>
      <w:r>
        <w:t>A mediator under Family Code section</w:t>
      </w:r>
      <w:r>
        <w:rPr>
          <w:spacing w:val="33"/>
        </w:rPr>
        <w:t xml:space="preserve"> </w:t>
      </w:r>
      <w:r>
        <w:rPr>
          <w:spacing w:val="2"/>
        </w:rPr>
        <w:t>3184;</w:t>
      </w:r>
    </w:p>
    <w:p w14:paraId="1890989D" w14:textId="43C32A63" w:rsidR="00FF37CF" w:rsidRDefault="00A81215">
      <w:pPr>
        <w:pStyle w:val="ListParagraph"/>
        <w:numPr>
          <w:ilvl w:val="0"/>
          <w:numId w:val="1"/>
        </w:numPr>
        <w:tabs>
          <w:tab w:val="left" w:pos="1867"/>
        </w:tabs>
        <w:spacing w:before="1"/>
        <w:ind w:left="1560" w:right="245" w:firstLine="0"/>
      </w:pPr>
      <w:r>
        <w:t xml:space="preserve">A professional person making a custody recommendation under Family Code sections </w:t>
      </w:r>
      <w:r>
        <w:rPr>
          <w:spacing w:val="2"/>
        </w:rPr>
        <w:t xml:space="preserve">3111 </w:t>
      </w:r>
      <w:r>
        <w:t xml:space="preserve">and </w:t>
      </w:r>
      <w:r>
        <w:rPr>
          <w:spacing w:val="2"/>
        </w:rPr>
        <w:t xml:space="preserve">3118, </w:t>
      </w:r>
      <w:r>
        <w:t xml:space="preserve">Evidence Code section </w:t>
      </w:r>
      <w:r>
        <w:rPr>
          <w:spacing w:val="2"/>
        </w:rPr>
        <w:t xml:space="preserve">730, </w:t>
      </w:r>
      <w:r>
        <w:t xml:space="preserve">or Code of Civil Procedure section </w:t>
      </w:r>
      <w:r w:rsidR="00A73825">
        <w:t>2032.010 et</w:t>
      </w:r>
      <w:r>
        <w:rPr>
          <w:spacing w:val="5"/>
        </w:rPr>
        <w:t xml:space="preserve"> </w:t>
      </w:r>
      <w:r>
        <w:t>seq.;</w:t>
      </w:r>
    </w:p>
    <w:p w14:paraId="1890989E" w14:textId="77777777" w:rsidR="00FF37CF" w:rsidRDefault="00A81215">
      <w:pPr>
        <w:pStyle w:val="ListParagraph"/>
        <w:numPr>
          <w:ilvl w:val="0"/>
          <w:numId w:val="1"/>
        </w:numPr>
        <w:tabs>
          <w:tab w:val="left" w:pos="1867"/>
        </w:tabs>
        <w:ind w:left="1560" w:right="623" w:firstLine="0"/>
      </w:pPr>
      <w:r>
        <w:t>A county counsel, district attorney, city attorney, or city prosecutor authorized to prosecute</w:t>
      </w:r>
      <w:r>
        <w:rPr>
          <w:spacing w:val="10"/>
        </w:rPr>
        <w:t xml:space="preserve"> </w:t>
      </w:r>
      <w:r>
        <w:t>child</w:t>
      </w:r>
      <w:r>
        <w:rPr>
          <w:spacing w:val="9"/>
        </w:rPr>
        <w:t xml:space="preserve"> </w:t>
      </w:r>
      <w:r>
        <w:t>abuse</w:t>
      </w:r>
      <w:r>
        <w:rPr>
          <w:spacing w:val="10"/>
        </w:rPr>
        <w:t xml:space="preserve"> </w:t>
      </w:r>
      <w:r>
        <w:t>and</w:t>
      </w:r>
      <w:r>
        <w:rPr>
          <w:spacing w:val="12"/>
        </w:rPr>
        <w:t xml:space="preserve"> </w:t>
      </w:r>
      <w:r>
        <w:t>neglect</w:t>
      </w:r>
      <w:r>
        <w:rPr>
          <w:spacing w:val="10"/>
        </w:rPr>
        <w:t xml:space="preserve"> </w:t>
      </w:r>
      <w:r>
        <w:t>or</w:t>
      </w:r>
      <w:r>
        <w:rPr>
          <w:spacing w:val="9"/>
        </w:rPr>
        <w:t xml:space="preserve"> </w:t>
      </w:r>
      <w:r>
        <w:t>child</w:t>
      </w:r>
      <w:r>
        <w:rPr>
          <w:spacing w:val="9"/>
        </w:rPr>
        <w:t xml:space="preserve"> </w:t>
      </w:r>
      <w:r>
        <w:t>abduction</w:t>
      </w:r>
      <w:r>
        <w:rPr>
          <w:spacing w:val="11"/>
        </w:rPr>
        <w:t xml:space="preserve"> </w:t>
      </w:r>
      <w:r>
        <w:t>cases</w:t>
      </w:r>
      <w:r>
        <w:rPr>
          <w:spacing w:val="11"/>
        </w:rPr>
        <w:t xml:space="preserve"> </w:t>
      </w:r>
      <w:r>
        <w:t>under</w:t>
      </w:r>
      <w:r>
        <w:rPr>
          <w:spacing w:val="9"/>
        </w:rPr>
        <w:t xml:space="preserve"> </w:t>
      </w:r>
      <w:r>
        <w:t>state</w:t>
      </w:r>
      <w:r>
        <w:rPr>
          <w:spacing w:val="10"/>
        </w:rPr>
        <w:t xml:space="preserve"> </w:t>
      </w:r>
      <w:r>
        <w:t>law;</w:t>
      </w:r>
      <w:r>
        <w:rPr>
          <w:spacing w:val="11"/>
        </w:rPr>
        <w:t xml:space="preserve"> </w:t>
      </w:r>
      <w:r>
        <w:t>or</w:t>
      </w:r>
    </w:p>
    <w:p w14:paraId="1890989F" w14:textId="77777777" w:rsidR="00FF37CF" w:rsidRDefault="00A81215">
      <w:pPr>
        <w:pStyle w:val="ListParagraph"/>
        <w:numPr>
          <w:ilvl w:val="0"/>
          <w:numId w:val="1"/>
        </w:numPr>
        <w:tabs>
          <w:tab w:val="left" w:pos="1867"/>
        </w:tabs>
      </w:pPr>
      <w:r>
        <w:t xml:space="preserve">A </w:t>
      </w:r>
      <w:r>
        <w:rPr>
          <w:spacing w:val="2"/>
        </w:rPr>
        <w:t xml:space="preserve">court-appointed </w:t>
      </w:r>
      <w:r>
        <w:t>guardian ad litem or special</w:t>
      </w:r>
      <w:r>
        <w:rPr>
          <w:spacing w:val="38"/>
        </w:rPr>
        <w:t xml:space="preserve"> </w:t>
      </w:r>
      <w:r>
        <w:t>advocate;</w:t>
      </w:r>
    </w:p>
    <w:p w14:paraId="189098A0" w14:textId="77777777" w:rsidR="00FF37CF" w:rsidRDefault="00A81215">
      <w:pPr>
        <w:pStyle w:val="ListParagraph"/>
        <w:numPr>
          <w:ilvl w:val="0"/>
          <w:numId w:val="1"/>
        </w:numPr>
        <w:tabs>
          <w:tab w:val="left" w:pos="1867"/>
        </w:tabs>
      </w:pPr>
      <w:r>
        <w:t>Any other person who the court deems</w:t>
      </w:r>
      <w:r>
        <w:rPr>
          <w:spacing w:val="44"/>
        </w:rPr>
        <w:t xml:space="preserve"> </w:t>
      </w:r>
      <w:r>
        <w:t>appropriate.</w:t>
      </w:r>
    </w:p>
    <w:p w14:paraId="189098A1" w14:textId="77777777" w:rsidR="00FF37CF" w:rsidRDefault="00A81215">
      <w:pPr>
        <w:pStyle w:val="ListParagraph"/>
        <w:numPr>
          <w:ilvl w:val="1"/>
          <w:numId w:val="2"/>
        </w:numPr>
        <w:tabs>
          <w:tab w:val="left" w:pos="1522"/>
        </w:tabs>
        <w:spacing w:line="259" w:lineRule="auto"/>
        <w:ind w:left="1200" w:right="290" w:firstLine="0"/>
        <w:rPr>
          <w:i/>
        </w:rPr>
      </w:pPr>
      <w:r>
        <w:rPr>
          <w:b/>
        </w:rPr>
        <w:t xml:space="preserve">Orders Appointing Counsel for a Child. </w:t>
      </w:r>
      <w:r>
        <w:t xml:space="preserve">The Court must issue written orders when appointing and terminating counsel for a child. The order is written on a form approved by the Judicial Council of California for use named FL-323, </w:t>
      </w:r>
      <w:r>
        <w:rPr>
          <w:i/>
        </w:rPr>
        <w:t>Order Appointing Counsel for A</w:t>
      </w:r>
      <w:r>
        <w:rPr>
          <w:i/>
          <w:spacing w:val="-17"/>
        </w:rPr>
        <w:t xml:space="preserve"> </w:t>
      </w:r>
      <w:r>
        <w:rPr>
          <w:i/>
        </w:rPr>
        <w:t>Child.</w:t>
      </w:r>
    </w:p>
    <w:p w14:paraId="189098A2" w14:textId="77777777" w:rsidR="00FF37CF" w:rsidRDefault="00FF37CF">
      <w:pPr>
        <w:spacing w:line="259" w:lineRule="auto"/>
        <w:sectPr w:rsidR="00FF37CF">
          <w:footerReference w:type="default" r:id="rId9"/>
          <w:type w:val="continuous"/>
          <w:pgSz w:w="12240" w:h="15840"/>
          <w:pgMar w:top="1500" w:right="1300" w:bottom="1200" w:left="960" w:header="720" w:footer="1004" w:gutter="0"/>
          <w:pgNumType w:start="1"/>
          <w:cols w:space="720"/>
        </w:sectPr>
      </w:pPr>
    </w:p>
    <w:p w14:paraId="189098A3" w14:textId="75DDDC23" w:rsidR="00FF37CF" w:rsidRDefault="00A81215">
      <w:pPr>
        <w:pStyle w:val="ListParagraph"/>
        <w:numPr>
          <w:ilvl w:val="0"/>
          <w:numId w:val="2"/>
        </w:numPr>
        <w:tabs>
          <w:tab w:val="left" w:pos="1201"/>
        </w:tabs>
        <w:spacing w:before="39" w:line="259" w:lineRule="auto"/>
        <w:ind w:right="688"/>
      </w:pPr>
      <w:r>
        <w:rPr>
          <w:b/>
        </w:rPr>
        <w:lastRenderedPageBreak/>
        <w:t xml:space="preserve">Compensation for Services (CRC Rule 5.241). </w:t>
      </w:r>
      <w:r>
        <w:t xml:space="preserve">All court orders </w:t>
      </w:r>
      <w:r w:rsidR="00A73825">
        <w:t>regarding</w:t>
      </w:r>
      <w:r>
        <w:t xml:space="preserve"> compensation, ability to pay, and manner of payment will be written on Form</w:t>
      </w:r>
      <w:r>
        <w:rPr>
          <w:spacing w:val="-12"/>
        </w:rPr>
        <w:t xml:space="preserve"> </w:t>
      </w:r>
      <w:r>
        <w:t>FL-323.</w:t>
      </w:r>
    </w:p>
    <w:p w14:paraId="189098A4" w14:textId="77777777" w:rsidR="00FF37CF" w:rsidRDefault="00A81215">
      <w:pPr>
        <w:pStyle w:val="ListParagraph"/>
        <w:numPr>
          <w:ilvl w:val="1"/>
          <w:numId w:val="2"/>
        </w:numPr>
        <w:tabs>
          <w:tab w:val="left" w:pos="1561"/>
        </w:tabs>
        <w:spacing w:before="1" w:line="259" w:lineRule="auto"/>
        <w:ind w:right="483"/>
      </w:pPr>
      <w:r>
        <w:rPr>
          <w:b/>
        </w:rPr>
        <w:t>Determination of Counsel Fees and Payment</w:t>
      </w:r>
      <w:r>
        <w:t xml:space="preserve">. The Court must determine the reasonable sum for compensation and expenses for counsel appointed to represent the child in a family law proceeding, </w:t>
      </w:r>
      <w:r>
        <w:rPr>
          <w:spacing w:val="2"/>
        </w:rPr>
        <w:t xml:space="preserve">and </w:t>
      </w:r>
      <w:r>
        <w:t>the ability of the parties to pay all or a portion of counsel's compensation and</w:t>
      </w:r>
      <w:r>
        <w:rPr>
          <w:spacing w:val="8"/>
        </w:rPr>
        <w:t xml:space="preserve"> </w:t>
      </w:r>
      <w:r>
        <w:rPr>
          <w:spacing w:val="2"/>
        </w:rPr>
        <w:t>expenses.</w:t>
      </w:r>
    </w:p>
    <w:p w14:paraId="189098A5" w14:textId="77777777" w:rsidR="00FF37CF" w:rsidRDefault="00A81215">
      <w:pPr>
        <w:pStyle w:val="Heading1"/>
        <w:numPr>
          <w:ilvl w:val="1"/>
          <w:numId w:val="2"/>
        </w:numPr>
        <w:tabs>
          <w:tab w:val="left" w:pos="1561"/>
        </w:tabs>
        <w:spacing w:line="268" w:lineRule="exact"/>
        <w:ind w:hanging="361"/>
        <w:rPr>
          <w:b w:val="0"/>
        </w:rPr>
      </w:pPr>
      <w:r>
        <w:t>Determination of Ability to</w:t>
      </w:r>
      <w:r>
        <w:rPr>
          <w:spacing w:val="-2"/>
        </w:rPr>
        <w:t xml:space="preserve"> </w:t>
      </w:r>
      <w:r>
        <w:t>Pay</w:t>
      </w:r>
      <w:r>
        <w:rPr>
          <w:b w:val="0"/>
        </w:rPr>
        <w:t>.</w:t>
      </w:r>
    </w:p>
    <w:p w14:paraId="189098A6" w14:textId="77777777" w:rsidR="00FF37CF" w:rsidRDefault="00A81215">
      <w:pPr>
        <w:pStyle w:val="ListParagraph"/>
        <w:numPr>
          <w:ilvl w:val="2"/>
          <w:numId w:val="2"/>
        </w:numPr>
        <w:tabs>
          <w:tab w:val="left" w:pos="1921"/>
        </w:tabs>
        <w:spacing w:before="20" w:line="259" w:lineRule="auto"/>
        <w:ind w:right="367"/>
      </w:pPr>
      <w:r>
        <w:t xml:space="preserve">If the court determines that the parties have the ability to pay all or a portion of the Counsel fees, the Court must order that the parties pay in any manner the court determines to be reasonable and compatible with the parties' financial ability, including progress </w:t>
      </w:r>
      <w:r>
        <w:rPr>
          <w:spacing w:val="4"/>
        </w:rPr>
        <w:t xml:space="preserve">or </w:t>
      </w:r>
      <w:r>
        <w:t>installment</w:t>
      </w:r>
      <w:r>
        <w:rPr>
          <w:spacing w:val="17"/>
        </w:rPr>
        <w:t xml:space="preserve"> </w:t>
      </w:r>
      <w:r>
        <w:rPr>
          <w:spacing w:val="2"/>
        </w:rPr>
        <w:t>payments.</w:t>
      </w:r>
    </w:p>
    <w:p w14:paraId="189098A7" w14:textId="77777777" w:rsidR="00FF37CF" w:rsidRDefault="00A81215">
      <w:pPr>
        <w:pStyle w:val="ListParagraph"/>
        <w:numPr>
          <w:ilvl w:val="2"/>
          <w:numId w:val="2"/>
        </w:numPr>
        <w:tabs>
          <w:tab w:val="left" w:pos="1921"/>
        </w:tabs>
        <w:spacing w:line="259" w:lineRule="auto"/>
        <w:ind w:right="371"/>
      </w:pPr>
      <w:r>
        <w:t xml:space="preserve">The court may use its own funds to pay counsel for a child and seek </w:t>
      </w:r>
      <w:r>
        <w:rPr>
          <w:spacing w:val="2"/>
        </w:rPr>
        <w:t xml:space="preserve">reimbursement </w:t>
      </w:r>
      <w:r>
        <w:t>from the</w:t>
      </w:r>
      <w:r>
        <w:rPr>
          <w:spacing w:val="11"/>
        </w:rPr>
        <w:t xml:space="preserve"> </w:t>
      </w:r>
      <w:r>
        <w:t>parties.</w:t>
      </w:r>
    </w:p>
    <w:p w14:paraId="189098A8" w14:textId="77777777" w:rsidR="00FF37CF" w:rsidRDefault="00A81215">
      <w:pPr>
        <w:pStyle w:val="ListParagraph"/>
        <w:numPr>
          <w:ilvl w:val="2"/>
          <w:numId w:val="2"/>
        </w:numPr>
        <w:tabs>
          <w:tab w:val="left" w:pos="1921"/>
        </w:tabs>
        <w:spacing w:line="259" w:lineRule="auto"/>
        <w:ind w:right="334"/>
      </w:pPr>
      <w:r>
        <w:t>If the court finds that the parties are unable to pay all or a portion of the cost of the child's</w:t>
      </w:r>
      <w:r>
        <w:rPr>
          <w:spacing w:val="9"/>
        </w:rPr>
        <w:t xml:space="preserve"> </w:t>
      </w:r>
      <w:r>
        <w:t>counsel,</w:t>
      </w:r>
      <w:r>
        <w:rPr>
          <w:spacing w:val="9"/>
        </w:rPr>
        <w:t xml:space="preserve"> </w:t>
      </w:r>
      <w:r>
        <w:t>the</w:t>
      </w:r>
      <w:r>
        <w:rPr>
          <w:spacing w:val="9"/>
        </w:rPr>
        <w:t xml:space="preserve"> </w:t>
      </w:r>
      <w:r>
        <w:t>court</w:t>
      </w:r>
      <w:r>
        <w:rPr>
          <w:spacing w:val="11"/>
        </w:rPr>
        <w:t xml:space="preserve"> </w:t>
      </w:r>
      <w:r>
        <w:t>must</w:t>
      </w:r>
      <w:r>
        <w:rPr>
          <w:spacing w:val="9"/>
        </w:rPr>
        <w:t xml:space="preserve"> </w:t>
      </w:r>
      <w:r>
        <w:t>pay</w:t>
      </w:r>
      <w:r>
        <w:rPr>
          <w:spacing w:val="9"/>
        </w:rPr>
        <w:t xml:space="preserve"> </w:t>
      </w:r>
      <w:r>
        <w:t>the</w:t>
      </w:r>
      <w:r>
        <w:rPr>
          <w:spacing w:val="19"/>
        </w:rPr>
        <w:t xml:space="preserve"> </w:t>
      </w:r>
      <w:r>
        <w:t>portion</w:t>
      </w:r>
      <w:r>
        <w:rPr>
          <w:spacing w:val="8"/>
        </w:rPr>
        <w:t xml:space="preserve"> </w:t>
      </w:r>
      <w:r>
        <w:t>the</w:t>
      </w:r>
      <w:r>
        <w:rPr>
          <w:spacing w:val="11"/>
        </w:rPr>
        <w:t xml:space="preserve"> </w:t>
      </w:r>
      <w:r>
        <w:t>parties</w:t>
      </w:r>
      <w:r>
        <w:rPr>
          <w:spacing w:val="9"/>
        </w:rPr>
        <w:t xml:space="preserve"> </w:t>
      </w:r>
      <w:r>
        <w:t>are</w:t>
      </w:r>
      <w:r>
        <w:rPr>
          <w:spacing w:val="12"/>
        </w:rPr>
        <w:t xml:space="preserve"> </w:t>
      </w:r>
      <w:r>
        <w:t>unable</w:t>
      </w:r>
      <w:r>
        <w:rPr>
          <w:spacing w:val="9"/>
        </w:rPr>
        <w:t xml:space="preserve"> </w:t>
      </w:r>
      <w:r>
        <w:t>to</w:t>
      </w:r>
      <w:r>
        <w:rPr>
          <w:spacing w:val="10"/>
        </w:rPr>
        <w:t xml:space="preserve"> </w:t>
      </w:r>
      <w:r>
        <w:rPr>
          <w:spacing w:val="3"/>
        </w:rPr>
        <w:t>pay.</w:t>
      </w:r>
    </w:p>
    <w:p w14:paraId="189098A9" w14:textId="77777777" w:rsidR="00FF37CF" w:rsidRDefault="00FF37CF">
      <w:pPr>
        <w:pStyle w:val="BodyText"/>
        <w:spacing w:before="8"/>
        <w:ind w:left="0" w:firstLine="0"/>
        <w:rPr>
          <w:sz w:val="23"/>
        </w:rPr>
      </w:pPr>
    </w:p>
    <w:p w14:paraId="189098AA" w14:textId="77777777" w:rsidR="00FF37CF" w:rsidRDefault="00A81215">
      <w:pPr>
        <w:pStyle w:val="Heading1"/>
        <w:numPr>
          <w:ilvl w:val="0"/>
          <w:numId w:val="2"/>
        </w:numPr>
        <w:tabs>
          <w:tab w:val="left" w:pos="1201"/>
        </w:tabs>
        <w:ind w:hanging="361"/>
      </w:pPr>
      <w:r>
        <w:t>Billing and Payment Provisions</w:t>
      </w:r>
    </w:p>
    <w:p w14:paraId="189098AB" w14:textId="77777777" w:rsidR="00FF37CF" w:rsidRDefault="00A81215">
      <w:pPr>
        <w:pStyle w:val="ListParagraph"/>
        <w:numPr>
          <w:ilvl w:val="1"/>
          <w:numId w:val="2"/>
        </w:numPr>
        <w:tabs>
          <w:tab w:val="left" w:pos="1561"/>
        </w:tabs>
        <w:spacing w:before="22"/>
        <w:ind w:hanging="361"/>
      </w:pPr>
      <w:r>
        <w:rPr>
          <w:b/>
        </w:rPr>
        <w:t xml:space="preserve">Compensation. </w:t>
      </w:r>
      <w:r>
        <w:t>The Court must pay all or a portion of Counsel’s compensation that</w:t>
      </w:r>
      <w:r>
        <w:rPr>
          <w:spacing w:val="-26"/>
        </w:rPr>
        <w:t xml:space="preserve"> </w:t>
      </w:r>
      <w:r>
        <w:t>the</w:t>
      </w:r>
    </w:p>
    <w:p w14:paraId="189098AC" w14:textId="77777777" w:rsidR="00FF37CF" w:rsidRDefault="00A81215">
      <w:pPr>
        <w:pStyle w:val="BodyText"/>
        <w:spacing w:before="22"/>
        <w:ind w:left="1560" w:firstLine="0"/>
      </w:pPr>
      <w:r>
        <w:t>parties are unable to pay.</w:t>
      </w:r>
    </w:p>
    <w:p w14:paraId="189098AD" w14:textId="3CAA7CF5" w:rsidR="00FF37CF" w:rsidRDefault="00A81215">
      <w:pPr>
        <w:pStyle w:val="ListParagraph"/>
        <w:numPr>
          <w:ilvl w:val="2"/>
          <w:numId w:val="2"/>
        </w:numPr>
        <w:tabs>
          <w:tab w:val="left" w:pos="1921"/>
          <w:tab w:val="left" w:pos="6241"/>
        </w:tabs>
        <w:spacing w:before="19" w:line="259" w:lineRule="auto"/>
        <w:ind w:right="895"/>
      </w:pPr>
      <w:r>
        <w:t xml:space="preserve">The fixed hourly attorney rates paid by the Court to Counsel are outlined below: </w:t>
      </w:r>
      <w:r>
        <w:tab/>
        <w:t>$</w:t>
      </w:r>
      <w:r w:rsidR="00F11C20">
        <w:t>100.00</w:t>
      </w:r>
      <w:r>
        <w:t xml:space="preserve"> per hour</w:t>
      </w:r>
      <w:r w:rsidR="00F11C20">
        <w:t xml:space="preserve"> for attorneys</w:t>
      </w:r>
    </w:p>
    <w:p w14:paraId="189098AE" w14:textId="16A3E229" w:rsidR="00FF37CF" w:rsidRDefault="00A81215">
      <w:pPr>
        <w:pStyle w:val="BodyText"/>
        <w:tabs>
          <w:tab w:val="left" w:pos="6241"/>
        </w:tabs>
        <w:spacing w:before="1"/>
        <w:ind w:firstLine="0"/>
      </w:pPr>
      <w:r>
        <w:t>$</w:t>
      </w:r>
      <w:r w:rsidR="00F11C20">
        <w:t xml:space="preserve">50.00 </w:t>
      </w:r>
      <w:r>
        <w:t>per hour</w:t>
      </w:r>
      <w:r w:rsidR="00F11C20">
        <w:t xml:space="preserve"> for attorney support staff</w:t>
      </w:r>
    </w:p>
    <w:p w14:paraId="189098AF" w14:textId="727D632E" w:rsidR="00FF37CF" w:rsidRDefault="00A81215">
      <w:pPr>
        <w:pStyle w:val="ListParagraph"/>
        <w:numPr>
          <w:ilvl w:val="2"/>
          <w:numId w:val="2"/>
        </w:numPr>
        <w:tabs>
          <w:tab w:val="left" w:pos="1921"/>
        </w:tabs>
        <w:spacing w:before="22" w:line="259" w:lineRule="auto"/>
        <w:ind w:right="368"/>
      </w:pPr>
      <w:r>
        <w:t>The Court will reimburse for actual hours of</w:t>
      </w:r>
      <w:r w:rsidR="00F11C20">
        <w:t xml:space="preserve"> </w:t>
      </w:r>
      <w:r>
        <w:t>work</w:t>
      </w:r>
      <w:r w:rsidR="00143B21">
        <w:t xml:space="preserve">. </w:t>
      </w:r>
      <w:r>
        <w:t>Travel time for traveling to and from place of business to Court is not</w:t>
      </w:r>
      <w:r>
        <w:rPr>
          <w:spacing w:val="-10"/>
        </w:rPr>
        <w:t xml:space="preserve"> </w:t>
      </w:r>
      <w:r>
        <w:t>reimbursable</w:t>
      </w:r>
      <w:r>
        <w:rPr>
          <w:color w:val="006FC0"/>
        </w:rPr>
        <w:t>.</w:t>
      </w:r>
    </w:p>
    <w:p w14:paraId="189098B0" w14:textId="2AC47247" w:rsidR="00FF37CF" w:rsidRDefault="00A81215">
      <w:pPr>
        <w:pStyle w:val="ListParagraph"/>
        <w:numPr>
          <w:ilvl w:val="2"/>
          <w:numId w:val="2"/>
        </w:numPr>
        <w:tabs>
          <w:tab w:val="left" w:pos="1921"/>
        </w:tabs>
        <w:spacing w:line="259" w:lineRule="auto"/>
        <w:ind w:right="515"/>
      </w:pPr>
      <w:r>
        <w:t>The Court will not provide reimbursement for travel expenses, mileage,</w:t>
      </w:r>
      <w:r w:rsidR="00143B21">
        <w:t xml:space="preserve"> filing fees,</w:t>
      </w:r>
      <w:r>
        <w:t xml:space="preserve"> or any other expenses.</w:t>
      </w:r>
    </w:p>
    <w:p w14:paraId="189098B1" w14:textId="77777777" w:rsidR="00FF37CF" w:rsidRDefault="00A81215">
      <w:pPr>
        <w:pStyle w:val="Heading1"/>
        <w:numPr>
          <w:ilvl w:val="1"/>
          <w:numId w:val="2"/>
        </w:numPr>
        <w:tabs>
          <w:tab w:val="left" w:pos="1561"/>
        </w:tabs>
        <w:spacing w:line="267" w:lineRule="exact"/>
        <w:ind w:hanging="361"/>
      </w:pPr>
      <w:r>
        <w:t>Billing</w:t>
      </w:r>
    </w:p>
    <w:p w14:paraId="189098B2" w14:textId="30D245EA" w:rsidR="00FF37CF" w:rsidRDefault="00143B21">
      <w:pPr>
        <w:pStyle w:val="ListParagraph"/>
        <w:numPr>
          <w:ilvl w:val="2"/>
          <w:numId w:val="2"/>
        </w:numPr>
        <w:tabs>
          <w:tab w:val="left" w:pos="1921"/>
        </w:tabs>
        <w:spacing w:before="21" w:line="259" w:lineRule="auto"/>
        <w:ind w:right="524"/>
      </w:pPr>
      <w:r>
        <w:t xml:space="preserve">The Court </w:t>
      </w:r>
      <w:r w:rsidR="00A81215">
        <w:t>must</w:t>
      </w:r>
      <w:r>
        <w:t xml:space="preserve"> only be</w:t>
      </w:r>
      <w:r w:rsidR="00A81215">
        <w:t xml:space="preserve"> bill</w:t>
      </w:r>
      <w:r>
        <w:t xml:space="preserve">ed </w:t>
      </w:r>
      <w:r w:rsidR="00A81215">
        <w:t xml:space="preserve">for attorney </w:t>
      </w:r>
      <w:r>
        <w:t xml:space="preserve">or support staff </w:t>
      </w:r>
      <w:r w:rsidR="00A81215">
        <w:t>work</w:t>
      </w:r>
      <w:r w:rsidR="00686490">
        <w:t xml:space="preserve"> </w:t>
      </w:r>
      <w:r>
        <w:t xml:space="preserve">and </w:t>
      </w:r>
      <w:r w:rsidR="00A81215">
        <w:t xml:space="preserve">must </w:t>
      </w:r>
      <w:r>
        <w:t xml:space="preserve">be </w:t>
      </w:r>
      <w:r w:rsidR="00A81215">
        <w:t>bill</w:t>
      </w:r>
      <w:r>
        <w:t>ed</w:t>
      </w:r>
      <w:r w:rsidR="00A81215">
        <w:t xml:space="preserve"> for actual time only, rounded up to the nearest tenth of an hour</w:t>
      </w:r>
      <w:r w:rsidR="00A81215">
        <w:rPr>
          <w:spacing w:val="-9"/>
        </w:rPr>
        <w:t xml:space="preserve"> </w:t>
      </w:r>
      <w:r w:rsidR="00A81215">
        <w:t>(.10).</w:t>
      </w:r>
    </w:p>
    <w:p w14:paraId="189098B3" w14:textId="57F5766E" w:rsidR="00FF37CF" w:rsidRDefault="00557154">
      <w:pPr>
        <w:pStyle w:val="ListParagraph"/>
        <w:numPr>
          <w:ilvl w:val="2"/>
          <w:numId w:val="2"/>
        </w:numPr>
        <w:tabs>
          <w:tab w:val="left" w:pos="1921"/>
        </w:tabs>
        <w:spacing w:line="259" w:lineRule="auto"/>
        <w:ind w:right="300"/>
        <w:jc w:val="both"/>
      </w:pPr>
      <w:r>
        <w:t>I</w:t>
      </w:r>
      <w:r w:rsidR="00A81215">
        <w:t xml:space="preserve">f an attorney is called to court for an appointment to represent a child on one </w:t>
      </w:r>
      <w:r w:rsidR="00A73825">
        <w:t>case and</w:t>
      </w:r>
      <w:r w:rsidR="00A81215">
        <w:t xml:space="preserve"> is also scheduled at the same calendar date to represent another child; assuming total court hours is one hour, the Counsel will bill for the actual time per case and not one hour for each</w:t>
      </w:r>
      <w:r w:rsidR="00A81215">
        <w:rPr>
          <w:spacing w:val="-14"/>
        </w:rPr>
        <w:t xml:space="preserve"> </w:t>
      </w:r>
      <w:r w:rsidR="00A81215">
        <w:t>case</w:t>
      </w:r>
      <w:r w:rsidR="00143B21">
        <w:t>. The Court does not pay for wait time.</w:t>
      </w:r>
    </w:p>
    <w:p w14:paraId="189098B4" w14:textId="0EA14218" w:rsidR="00FF37CF" w:rsidRDefault="00A81215">
      <w:pPr>
        <w:pStyle w:val="ListParagraph"/>
        <w:numPr>
          <w:ilvl w:val="2"/>
          <w:numId w:val="2"/>
        </w:numPr>
        <w:tabs>
          <w:tab w:val="left" w:pos="1921"/>
        </w:tabs>
        <w:spacing w:line="259" w:lineRule="auto"/>
        <w:ind w:right="310"/>
      </w:pPr>
      <w:r>
        <w:t>There will be no “bundling of services”, and therefore each legal task must be itemized on the</w:t>
      </w:r>
      <w:r w:rsidR="00143B21">
        <w:t xml:space="preserve"> </w:t>
      </w:r>
      <w:r>
        <w:t xml:space="preserve">invoice. </w:t>
      </w:r>
      <w:r w:rsidR="00143B21">
        <w:t>M</w:t>
      </w:r>
      <w:r>
        <w:t>ultiple activities under one billing time</w:t>
      </w:r>
      <w:r>
        <w:rPr>
          <w:spacing w:val="-2"/>
        </w:rPr>
        <w:t xml:space="preserve"> </w:t>
      </w:r>
      <w:r>
        <w:t>allotment</w:t>
      </w:r>
      <w:r w:rsidR="00143B21">
        <w:t xml:space="preserve"> should not be listed.</w:t>
      </w:r>
    </w:p>
    <w:p w14:paraId="189098B5" w14:textId="1D6F100E" w:rsidR="00FF37CF" w:rsidRDefault="00143B21">
      <w:pPr>
        <w:pStyle w:val="ListParagraph"/>
        <w:numPr>
          <w:ilvl w:val="2"/>
          <w:numId w:val="2"/>
        </w:numPr>
        <w:tabs>
          <w:tab w:val="left" w:pos="1921"/>
        </w:tabs>
        <w:spacing w:line="259" w:lineRule="auto"/>
        <w:ind w:right="165"/>
      </w:pPr>
      <w:r>
        <w:t>O</w:t>
      </w:r>
      <w:r w:rsidR="00A81215">
        <w:t>ne claim per case</w:t>
      </w:r>
      <w:r>
        <w:t xml:space="preserve"> must be submitted</w:t>
      </w:r>
      <w:r w:rsidR="00A81215">
        <w:t xml:space="preserve"> to the Court </w:t>
      </w:r>
      <w:r w:rsidR="00A73825">
        <w:t>monthly</w:t>
      </w:r>
      <w:r w:rsidR="00A81215">
        <w:t xml:space="preserve"> on ongoing cases. Invoices and claims for completed work must be submitted within</w:t>
      </w:r>
      <w:r w:rsidR="00A81215">
        <w:rPr>
          <w:spacing w:val="-22"/>
        </w:rPr>
        <w:t xml:space="preserve"> </w:t>
      </w:r>
      <w:r w:rsidR="00A81215">
        <w:t>thirty</w:t>
      </w:r>
    </w:p>
    <w:p w14:paraId="189098B6" w14:textId="6C1FDA8B" w:rsidR="00FF37CF" w:rsidRDefault="00A81215">
      <w:pPr>
        <w:pStyle w:val="BodyText"/>
        <w:spacing w:line="259" w:lineRule="auto"/>
        <w:ind w:right="265" w:firstLine="0"/>
      </w:pPr>
      <w:r>
        <w:t>(30) days of service completion, with a maximum timeframe of sixty (60) days, except for purposes of fiscal year accounting described in section 4.b.H below. For example, if the</w:t>
      </w:r>
      <w:r w:rsidR="00143B21">
        <w:t xml:space="preserve"> </w:t>
      </w:r>
      <w:r>
        <w:t xml:space="preserve">last day of </w:t>
      </w:r>
      <w:r w:rsidR="00143B21">
        <w:t xml:space="preserve">worked </w:t>
      </w:r>
      <w:r>
        <w:t>perform</w:t>
      </w:r>
      <w:r w:rsidR="00143B21">
        <w:t>ed for March</w:t>
      </w:r>
      <w:r>
        <w:t xml:space="preserve"> is March 29</w:t>
      </w:r>
      <w:r w:rsidR="00E32600" w:rsidRPr="00E32600">
        <w:rPr>
          <w:vertAlign w:val="superscript"/>
        </w:rPr>
        <w:t>th</w:t>
      </w:r>
      <w:r w:rsidR="00E32600">
        <w:t xml:space="preserve"> </w:t>
      </w:r>
      <w:r>
        <w:t>on an ongoing case, claim must be submitted to the Court on or before April 29</w:t>
      </w:r>
      <w:r>
        <w:rPr>
          <w:vertAlign w:val="superscript"/>
        </w:rPr>
        <w:t>th</w:t>
      </w:r>
      <w:r>
        <w:t>.</w:t>
      </w:r>
    </w:p>
    <w:p w14:paraId="189098B7" w14:textId="77777777" w:rsidR="00FF37CF" w:rsidRDefault="00FF37CF">
      <w:pPr>
        <w:spacing w:line="259" w:lineRule="auto"/>
        <w:sectPr w:rsidR="00FF37CF">
          <w:pgSz w:w="12240" w:h="15840"/>
          <w:pgMar w:top="1400" w:right="1300" w:bottom="1200" w:left="960" w:header="0" w:footer="1004" w:gutter="0"/>
          <w:cols w:space="720"/>
        </w:sectPr>
      </w:pPr>
    </w:p>
    <w:p w14:paraId="189098B8" w14:textId="29D70A9B" w:rsidR="00FF37CF" w:rsidRDefault="00A81215">
      <w:pPr>
        <w:pStyle w:val="BodyText"/>
        <w:spacing w:before="39" w:line="259" w:lineRule="auto"/>
        <w:ind w:right="265" w:firstLine="0"/>
      </w:pPr>
      <w:r>
        <w:lastRenderedPageBreak/>
        <w:t xml:space="preserve">For appointment termination, invoices and claims </w:t>
      </w:r>
      <w:r w:rsidR="00E32600">
        <w:t xml:space="preserve">must be submitted </w:t>
      </w:r>
      <w:r>
        <w:t>to Court within thirty (30) days after the appointment termination date.</w:t>
      </w:r>
    </w:p>
    <w:p w14:paraId="189098B9" w14:textId="77777777" w:rsidR="00FF37CF" w:rsidRDefault="00FF37CF">
      <w:pPr>
        <w:pStyle w:val="BodyText"/>
        <w:spacing w:before="8"/>
        <w:ind w:left="0" w:firstLine="0"/>
        <w:rPr>
          <w:sz w:val="23"/>
        </w:rPr>
      </w:pPr>
    </w:p>
    <w:p w14:paraId="189098BA" w14:textId="77777777" w:rsidR="00FF37CF" w:rsidRDefault="00A81215">
      <w:pPr>
        <w:pStyle w:val="ListParagraph"/>
        <w:numPr>
          <w:ilvl w:val="2"/>
          <w:numId w:val="2"/>
        </w:numPr>
        <w:tabs>
          <w:tab w:val="left" w:pos="1921"/>
        </w:tabs>
        <w:ind w:hanging="361"/>
      </w:pPr>
      <w:r>
        <w:t>Claim packet must include the following</w:t>
      </w:r>
      <w:r>
        <w:rPr>
          <w:spacing w:val="-3"/>
        </w:rPr>
        <w:t xml:space="preserve"> </w:t>
      </w:r>
      <w:r>
        <w:t>documents:</w:t>
      </w:r>
    </w:p>
    <w:p w14:paraId="189098BB" w14:textId="77777777" w:rsidR="00FF37CF" w:rsidRDefault="00A81215">
      <w:pPr>
        <w:pStyle w:val="ListParagraph"/>
        <w:numPr>
          <w:ilvl w:val="3"/>
          <w:numId w:val="2"/>
        </w:numPr>
        <w:tabs>
          <w:tab w:val="left" w:pos="2847"/>
        </w:tabs>
        <w:spacing w:before="22"/>
      </w:pPr>
      <w:r>
        <w:t>Vendor Claim</w:t>
      </w:r>
      <w:r>
        <w:rPr>
          <w:spacing w:val="-5"/>
        </w:rPr>
        <w:t xml:space="preserve"> </w:t>
      </w:r>
      <w:r>
        <w:t>Form</w:t>
      </w:r>
    </w:p>
    <w:p w14:paraId="189098BC" w14:textId="77777777" w:rsidR="00FF37CF" w:rsidRDefault="00A81215">
      <w:pPr>
        <w:pStyle w:val="ListParagraph"/>
        <w:numPr>
          <w:ilvl w:val="3"/>
          <w:numId w:val="2"/>
        </w:numPr>
        <w:tabs>
          <w:tab w:val="left" w:pos="2897"/>
        </w:tabs>
        <w:spacing w:before="22"/>
        <w:ind w:left="2896" w:hanging="257"/>
      </w:pPr>
      <w:r>
        <w:t>Claim and Order for Compensation of Court Appointed</w:t>
      </w:r>
      <w:r>
        <w:rPr>
          <w:spacing w:val="-11"/>
        </w:rPr>
        <w:t xml:space="preserve"> </w:t>
      </w:r>
      <w:r>
        <w:t>Counsel</w:t>
      </w:r>
    </w:p>
    <w:p w14:paraId="189098BD" w14:textId="77777777" w:rsidR="00FF37CF" w:rsidRDefault="00A81215">
      <w:pPr>
        <w:pStyle w:val="ListParagraph"/>
        <w:numPr>
          <w:ilvl w:val="3"/>
          <w:numId w:val="2"/>
        </w:numPr>
        <w:tabs>
          <w:tab w:val="left" w:pos="2948"/>
        </w:tabs>
        <w:spacing w:before="22"/>
        <w:ind w:left="2947" w:hanging="308"/>
      </w:pPr>
      <w:r>
        <w:t>Form FL-323, Order Appointing Counsel for a</w:t>
      </w:r>
      <w:r>
        <w:rPr>
          <w:spacing w:val="-8"/>
        </w:rPr>
        <w:t xml:space="preserve"> </w:t>
      </w:r>
      <w:r>
        <w:t>Child</w:t>
      </w:r>
    </w:p>
    <w:p w14:paraId="0CC2AFD9" w14:textId="125FD595" w:rsidR="003A40A2" w:rsidRDefault="00A81215" w:rsidP="003A40A2">
      <w:pPr>
        <w:pStyle w:val="ListParagraph"/>
        <w:numPr>
          <w:ilvl w:val="3"/>
          <w:numId w:val="2"/>
        </w:numPr>
        <w:tabs>
          <w:tab w:val="left" w:pos="2946"/>
        </w:tabs>
        <w:spacing w:before="19"/>
        <w:ind w:left="2945" w:hanging="306"/>
      </w:pPr>
      <w:r>
        <w:t>Detailed Invoice</w:t>
      </w:r>
      <w:r w:rsidR="003A40A2">
        <w:t xml:space="preserve"> (Please use “client” instead of party names in detail lines.)</w:t>
      </w:r>
    </w:p>
    <w:p w14:paraId="189098BF" w14:textId="704CCD51" w:rsidR="00FF37CF" w:rsidRDefault="00E32600">
      <w:pPr>
        <w:pStyle w:val="ListParagraph"/>
        <w:numPr>
          <w:ilvl w:val="2"/>
          <w:numId w:val="2"/>
        </w:numPr>
        <w:tabs>
          <w:tab w:val="left" w:pos="1921"/>
        </w:tabs>
        <w:spacing w:before="22" w:line="259" w:lineRule="auto"/>
        <w:ind w:right="137"/>
      </w:pPr>
      <w:r>
        <w:t>V</w:t>
      </w:r>
      <w:r w:rsidR="00A81215">
        <w:t xml:space="preserve">endor claims </w:t>
      </w:r>
      <w:r>
        <w:t xml:space="preserve">must be submitted </w:t>
      </w:r>
      <w:r w:rsidR="00A81215">
        <w:t xml:space="preserve">to the Court </w:t>
      </w:r>
      <w:r>
        <w:t>electronically:</w:t>
      </w:r>
    </w:p>
    <w:p w14:paraId="189098C4" w14:textId="14D7E843" w:rsidR="00FF37CF" w:rsidRDefault="00A81215">
      <w:pPr>
        <w:pStyle w:val="BodyText"/>
        <w:spacing w:before="22" w:line="259" w:lineRule="auto"/>
        <w:ind w:left="2640" w:right="220" w:firstLine="0"/>
      </w:pPr>
      <w:r>
        <w:t xml:space="preserve">Submit via e-mail at </w:t>
      </w:r>
      <w:hyperlink r:id="rId10">
        <w:r w:rsidR="00E32600">
          <w:rPr>
            <w:color w:val="0462C1"/>
            <w:u w:val="single" w:color="0462C1"/>
          </w:rPr>
          <w:t>AP@sbcourts.org</w:t>
        </w:r>
      </w:hyperlink>
      <w:r w:rsidR="00E32600">
        <w:rPr>
          <w:color w:val="0462C1"/>
          <w:u w:val="single" w:color="0462C1"/>
        </w:rPr>
        <w:t xml:space="preserve"> </w:t>
      </w:r>
      <w:r>
        <w:t xml:space="preserve">. Scan and save </w:t>
      </w:r>
      <w:r w:rsidR="00E32600">
        <w:t xml:space="preserve">each invoice </w:t>
      </w:r>
      <w:r>
        <w:t>into one pdf file, in an order as outlined in section 4.b.E above, and name the pdf file as “Claimant NameMMDDYYFL</w:t>
      </w:r>
      <w:r w:rsidR="003A40A2">
        <w:t>x</w:t>
      </w:r>
      <w:r>
        <w:t>xxxx” (example: MarySmith01312</w:t>
      </w:r>
      <w:r w:rsidR="003A40A2">
        <w:t>6</w:t>
      </w:r>
      <w:r>
        <w:t>FL12345</w:t>
      </w:r>
      <w:r w:rsidR="00E32600">
        <w:t>)</w:t>
      </w:r>
      <w:r>
        <w:t xml:space="preserve">, using the last day of work in a month as the date and respective case number. For the e-mail Subject, use </w:t>
      </w:r>
      <w:r w:rsidR="00E32600">
        <w:t xml:space="preserve">FL 3150 Invoice(s). </w:t>
      </w:r>
      <w:r w:rsidR="00686490">
        <w:t xml:space="preserve">Please note: You </w:t>
      </w:r>
      <w:r w:rsidR="003A40A2">
        <w:t>must</w:t>
      </w:r>
      <w:r w:rsidR="00686490">
        <w:t xml:space="preserve"> only attach up to ten (10) separate invoices per email.</w:t>
      </w:r>
    </w:p>
    <w:p w14:paraId="189098C5" w14:textId="2C9D342F" w:rsidR="00FF37CF" w:rsidRDefault="00A81215">
      <w:pPr>
        <w:pStyle w:val="ListParagraph"/>
        <w:numPr>
          <w:ilvl w:val="2"/>
          <w:numId w:val="2"/>
        </w:numPr>
        <w:tabs>
          <w:tab w:val="left" w:pos="1921"/>
        </w:tabs>
        <w:spacing w:line="259" w:lineRule="auto"/>
        <w:ind w:right="221"/>
      </w:pPr>
      <w:r>
        <w:t xml:space="preserve">Timely submission of Vendor Claim is vital </w:t>
      </w:r>
      <w:r w:rsidR="00A73825">
        <w:t>for</w:t>
      </w:r>
      <w:r>
        <w:t xml:space="preserve"> the Court to report expenses and encumber public funds in the appropriate budget period. Vendor Claims submitted after sixty (60) days will risk non-payment and should be accompanied by a letter explaining the reason(s) for the</w:t>
      </w:r>
      <w:r>
        <w:rPr>
          <w:spacing w:val="-3"/>
        </w:rPr>
        <w:t xml:space="preserve"> </w:t>
      </w:r>
      <w:r>
        <w:t>delay.</w:t>
      </w:r>
    </w:p>
    <w:p w14:paraId="189098C6" w14:textId="128214DC" w:rsidR="00FF37CF" w:rsidRDefault="00A81215">
      <w:pPr>
        <w:pStyle w:val="ListParagraph"/>
        <w:numPr>
          <w:ilvl w:val="2"/>
          <w:numId w:val="2"/>
        </w:numPr>
        <w:tabs>
          <w:tab w:val="left" w:pos="1921"/>
        </w:tabs>
        <w:spacing w:line="259" w:lineRule="auto"/>
        <w:ind w:right="604"/>
        <w:jc w:val="both"/>
      </w:pPr>
      <w:r>
        <w:t xml:space="preserve">For purposes of fiscal year accounting, Counsel must submit any invoices or bills for services accrued within the fiscal year ending June 30 as soon as possible and in no event </w:t>
      </w:r>
      <w:r w:rsidR="00686490">
        <w:t>1</w:t>
      </w:r>
      <w:r>
        <w:t>0 days after the end of the fiscal</w:t>
      </w:r>
      <w:r>
        <w:rPr>
          <w:spacing w:val="-7"/>
        </w:rPr>
        <w:t xml:space="preserve"> </w:t>
      </w:r>
      <w:r>
        <w:t>year.</w:t>
      </w:r>
    </w:p>
    <w:p w14:paraId="189098C7" w14:textId="666E9BB9" w:rsidR="00FF37CF" w:rsidRDefault="00A81215">
      <w:pPr>
        <w:pStyle w:val="ListParagraph"/>
        <w:numPr>
          <w:ilvl w:val="2"/>
          <w:numId w:val="2"/>
        </w:numPr>
        <w:tabs>
          <w:tab w:val="left" w:pos="1921"/>
        </w:tabs>
        <w:spacing w:line="259" w:lineRule="auto"/>
        <w:ind w:right="157"/>
        <w:jc w:val="both"/>
      </w:pPr>
      <w:r>
        <w:t>For purposes of smooth transition to th</w:t>
      </w:r>
      <w:r w:rsidR="003A40A2">
        <w:t xml:space="preserve">ese </w:t>
      </w:r>
      <w:r>
        <w:t xml:space="preserve">new billing guidelines, Counsel must submit all outstanding and unclaimed bills as of </w:t>
      </w:r>
      <w:r w:rsidR="00686490">
        <w:t>February</w:t>
      </w:r>
      <w:r>
        <w:t xml:space="preserve"> </w:t>
      </w:r>
      <w:r w:rsidR="00686490">
        <w:t>28</w:t>
      </w:r>
      <w:r>
        <w:t xml:space="preserve">, </w:t>
      </w:r>
      <w:r w:rsidR="00A73825">
        <w:t>2026,</w:t>
      </w:r>
      <w:r>
        <w:t xml:space="preserve"> to the Court fi</w:t>
      </w:r>
      <w:r w:rsidR="00686490">
        <w:t xml:space="preserve">nance </w:t>
      </w:r>
      <w:r>
        <w:t>department</w:t>
      </w:r>
      <w:r>
        <w:rPr>
          <w:spacing w:val="-27"/>
        </w:rPr>
        <w:t xml:space="preserve"> </w:t>
      </w:r>
      <w:r>
        <w:t>by</w:t>
      </w:r>
      <w:r w:rsidR="00686490">
        <w:t xml:space="preserve"> April </w:t>
      </w:r>
      <w:r w:rsidR="004879AA">
        <w:t>30</w:t>
      </w:r>
      <w:r>
        <w:t>,</w:t>
      </w:r>
      <w:r>
        <w:rPr>
          <w:spacing w:val="-3"/>
        </w:rPr>
        <w:t xml:space="preserve"> </w:t>
      </w:r>
      <w:r>
        <w:t>202</w:t>
      </w:r>
      <w:r w:rsidR="00686490">
        <w:t>6</w:t>
      </w:r>
      <w:r>
        <w:t>.</w:t>
      </w:r>
    </w:p>
    <w:p w14:paraId="189098C8" w14:textId="77777777" w:rsidR="00FF37CF" w:rsidRDefault="00FF37CF">
      <w:pPr>
        <w:pStyle w:val="BodyText"/>
        <w:spacing w:before="6"/>
        <w:ind w:left="0" w:firstLine="0"/>
        <w:rPr>
          <w:sz w:val="23"/>
        </w:rPr>
      </w:pPr>
    </w:p>
    <w:p w14:paraId="189098C9" w14:textId="77777777" w:rsidR="00FF37CF" w:rsidRDefault="00A81215">
      <w:pPr>
        <w:pStyle w:val="Heading1"/>
        <w:numPr>
          <w:ilvl w:val="1"/>
          <w:numId w:val="2"/>
        </w:numPr>
        <w:tabs>
          <w:tab w:val="left" w:pos="1560"/>
          <w:tab w:val="left" w:pos="1561"/>
        </w:tabs>
        <w:ind w:hanging="361"/>
      </w:pPr>
      <w:r>
        <w:t>Reimbursement</w:t>
      </w:r>
    </w:p>
    <w:p w14:paraId="189098CA" w14:textId="77777777" w:rsidR="00FF37CF" w:rsidRDefault="00A81215">
      <w:pPr>
        <w:pStyle w:val="ListParagraph"/>
        <w:numPr>
          <w:ilvl w:val="2"/>
          <w:numId w:val="2"/>
        </w:numPr>
        <w:tabs>
          <w:tab w:val="left" w:pos="1921"/>
        </w:tabs>
        <w:spacing w:before="1"/>
        <w:ind w:right="535"/>
      </w:pPr>
      <w:r>
        <w:t>The Court will carefully review Counsel claims requesting reimbursement and the assigned judge reserves the right to limit or cut amounts deemed by the Judge to be excessive.</w:t>
      </w:r>
    </w:p>
    <w:p w14:paraId="189098CB" w14:textId="5E3400DB" w:rsidR="00FF37CF" w:rsidRDefault="00A81215">
      <w:pPr>
        <w:pStyle w:val="ListParagraph"/>
        <w:numPr>
          <w:ilvl w:val="2"/>
          <w:numId w:val="2"/>
        </w:numPr>
        <w:tabs>
          <w:tab w:val="left" w:pos="1921"/>
        </w:tabs>
        <w:ind w:right="159"/>
      </w:pPr>
      <w:r>
        <w:t>The Court shall pay Counsel within thirty (30) days of receiving correct and proper billing documents. Payments to Counsel are contingent upon the satisfactory performance of obligations under the Court</w:t>
      </w:r>
      <w:r>
        <w:rPr>
          <w:spacing w:val="-7"/>
        </w:rPr>
        <w:t xml:space="preserve"> </w:t>
      </w:r>
      <w:r>
        <w:t>O</w:t>
      </w:r>
      <w:r w:rsidR="00686490">
        <w:t>r</w:t>
      </w:r>
      <w:r>
        <w:t>der.</w:t>
      </w:r>
    </w:p>
    <w:p w14:paraId="189098CC" w14:textId="0FB34798" w:rsidR="00FF37CF" w:rsidRDefault="00A81215">
      <w:pPr>
        <w:pStyle w:val="ListParagraph"/>
        <w:numPr>
          <w:ilvl w:val="2"/>
          <w:numId w:val="2"/>
        </w:numPr>
        <w:tabs>
          <w:tab w:val="left" w:pos="1921"/>
        </w:tabs>
        <w:ind w:right="162"/>
      </w:pPr>
      <w:r>
        <w:t>Payment does not imply acceptance of claims, services, or deliverables. Counsel shall immediately refund any payment made in error. The Court shall have the right at any time to set off any amount owing from Counsel to the Court against any amount payable by the Court to</w:t>
      </w:r>
      <w:r>
        <w:rPr>
          <w:spacing w:val="-2"/>
        </w:rPr>
        <w:t xml:space="preserve"> </w:t>
      </w:r>
      <w:r>
        <w:t>Counsel.</w:t>
      </w:r>
    </w:p>
    <w:p w14:paraId="189098CE" w14:textId="470276F7" w:rsidR="00FF37CF" w:rsidRDefault="00A81215">
      <w:pPr>
        <w:pStyle w:val="ListParagraph"/>
        <w:numPr>
          <w:ilvl w:val="2"/>
          <w:numId w:val="2"/>
        </w:numPr>
        <w:tabs>
          <w:tab w:val="left" w:pos="1921"/>
        </w:tabs>
        <w:spacing w:before="39"/>
        <w:ind w:right="462"/>
      </w:pPr>
      <w:r>
        <w:t>Expenses</w:t>
      </w:r>
      <w:r>
        <w:rPr>
          <w:b/>
        </w:rPr>
        <w:t xml:space="preserve">. </w:t>
      </w:r>
      <w:r w:rsidR="00A73825">
        <w:t>All</w:t>
      </w:r>
      <w:r>
        <w:t xml:space="preserve"> expenses are the responsibility of the Counsel and must not be separately billed to the Court, including those related to travel. The</w:t>
      </w:r>
      <w:r w:rsidR="00686490">
        <w:t xml:space="preserve"> </w:t>
      </w:r>
      <w:r>
        <w:t xml:space="preserve">fees for actual hours paid to Counsel </w:t>
      </w:r>
      <w:r w:rsidR="00686490">
        <w:t>is</w:t>
      </w:r>
      <w:r>
        <w:t xml:space="preserve"> the entire compensation for all work performed, including all of Counsel’s expenses</w:t>
      </w:r>
      <w:r>
        <w:rPr>
          <w:spacing w:val="-7"/>
        </w:rPr>
        <w:t xml:space="preserve"> </w:t>
      </w:r>
      <w:r>
        <w:t>incurred.</w:t>
      </w:r>
    </w:p>
    <w:sectPr w:rsidR="00FF37CF">
      <w:pgSz w:w="12240" w:h="15840"/>
      <w:pgMar w:top="1400" w:right="1300" w:bottom="1200" w:left="960" w:header="0" w:footer="100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DDD32E" w14:textId="77777777" w:rsidR="00A81215" w:rsidRDefault="00A81215">
      <w:r>
        <w:separator/>
      </w:r>
    </w:p>
  </w:endnote>
  <w:endnote w:type="continuationSeparator" w:id="0">
    <w:p w14:paraId="449EC1F4" w14:textId="77777777" w:rsidR="00A81215" w:rsidRDefault="00A812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098D4" w14:textId="448C1889" w:rsidR="00FF37CF" w:rsidRDefault="00A73825">
    <w:pPr>
      <w:pStyle w:val="BodyText"/>
      <w:spacing w:line="14" w:lineRule="auto"/>
      <w:ind w:left="0" w:firstLine="0"/>
      <w:rPr>
        <w:sz w:val="20"/>
      </w:rPr>
    </w:pPr>
    <w:r>
      <w:rPr>
        <w:noProof/>
      </w:rPr>
      <mc:AlternateContent>
        <mc:Choice Requires="wps">
          <w:drawing>
            <wp:anchor distT="0" distB="0" distL="114300" distR="114300" simplePos="0" relativeHeight="251533312" behindDoc="1" locked="0" layoutInCell="1" allowOverlap="1" wp14:anchorId="189098D5" wp14:editId="143B5DD9">
              <wp:simplePos x="0" y="0"/>
              <wp:positionH relativeFrom="page">
                <wp:posOffset>896620</wp:posOffset>
              </wp:positionH>
              <wp:positionV relativeFrom="page">
                <wp:posOffset>9245600</wp:posOffset>
              </wp:positionV>
              <wp:extent cx="5981065" cy="0"/>
              <wp:effectExtent l="0" t="0" r="0" b="0"/>
              <wp:wrapNone/>
              <wp:docPr id="26199654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1065" cy="0"/>
                      </a:xfrm>
                      <a:prstGeom prst="line">
                        <a:avLst/>
                      </a:prstGeom>
                      <a:noFill/>
                      <a:ln w="6096">
                        <a:solidFill>
                          <a:srgbClr val="D9D9D9"/>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522A1B" id="Line 2" o:spid="_x0000_s1026" style="position:absolute;z-index:-251783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6pt,728pt" to="541.55pt,7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" strokecolor="#d9d9d9" strokeweight=".48pt">
              <w10:wrap anchorx="page" anchory="page"/>
            </v:line>
          </w:pict>
        </mc:Fallback>
      </mc:AlternateContent>
    </w:r>
    <w:r>
      <w:rPr>
        <w:noProof/>
      </w:rPr>
      <mc:AlternateContent>
        <mc:Choice Requires="wps">
          <w:drawing>
            <wp:anchor distT="0" distB="0" distL="114300" distR="114300" simplePos="0" relativeHeight="251534336" behindDoc="1" locked="0" layoutInCell="1" allowOverlap="1" wp14:anchorId="189098D6" wp14:editId="65CFA4B3">
              <wp:simplePos x="0" y="0"/>
              <wp:positionH relativeFrom="page">
                <wp:posOffset>6196330</wp:posOffset>
              </wp:positionH>
              <wp:positionV relativeFrom="page">
                <wp:posOffset>9276080</wp:posOffset>
              </wp:positionV>
              <wp:extent cx="638810" cy="165735"/>
              <wp:effectExtent l="0" t="0" r="0" b="0"/>
              <wp:wrapNone/>
              <wp:docPr id="35063939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8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9098D7" w14:textId="77777777" w:rsidR="00FF37CF" w:rsidRDefault="00A81215">
                          <w:pPr>
                            <w:pStyle w:val="BodyText"/>
                            <w:spacing w:line="245" w:lineRule="exact"/>
                            <w:ind w:left="60" w:firstLine="0"/>
                          </w:pPr>
                          <w:r>
                            <w:fldChar w:fldCharType="begin"/>
                          </w:r>
                          <w:r>
                            <w:instrText xml:space="preserve"> PAGE </w:instrText>
                          </w:r>
                          <w:r>
                            <w:fldChar w:fldCharType="separate"/>
                          </w:r>
                          <w:r>
                            <w:t>1</w:t>
                          </w:r>
                          <w:r>
                            <w:fldChar w:fldCharType="end"/>
                          </w:r>
                          <w:r>
                            <w:t xml:space="preserve"> | </w:t>
                          </w:r>
                          <w:r>
                            <w:rPr>
                              <w:color w:val="7E7E7E"/>
                            </w:rPr>
                            <w:t>P a g 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9098D6" id="_x0000_t202" coordsize="21600,21600" o:spt="202" path="m,l,21600r21600,l21600,xe">
              <v:stroke joinstyle="miter"/>
              <v:path gradientshapeok="t" o:connecttype="rect"/>
            </v:shapetype>
            <v:shape id="Text Box 1" o:spid="_x0000_s1026" type="#_x0000_t202" style="position:absolute;margin-left:487.9pt;margin-top:730.4pt;width:50.3pt;height:13.05pt;z-index:-251782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" filled="f" stroked="f">
              <v:textbox inset="0,0,0,0">
                <w:txbxContent>
                  <w:p w14:paraId="189098D7" w14:textId="77777777" w:rsidR="00FF37CF" w:rsidRDefault="00A81215">
                    <w:pPr>
                      <w:pStyle w:val="BodyText"/>
                      <w:spacing w:line="245" w:lineRule="exact"/>
                      <w:ind w:left="60" w:firstLine="0"/>
                    </w:pPr>
                    <w:r>
                      <w:fldChar w:fldCharType="begin"/>
                    </w:r>
                    <w:r>
                      <w:instrText xml:space="preserve"> PAGE </w:instrText>
                    </w:r>
                    <w:r>
                      <w:fldChar w:fldCharType="separate"/>
                    </w:r>
                    <w:r>
                      <w:t>1</w:t>
                    </w:r>
                    <w:r>
                      <w:fldChar w:fldCharType="end"/>
                    </w:r>
                    <w:r>
                      <w:t xml:space="preserve"> | </w:t>
                    </w:r>
                    <w:r>
                      <w:rPr>
                        <w:color w:val="7E7E7E"/>
                      </w:rPr>
                      <w:t>P a g 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E9A152" w14:textId="77777777" w:rsidR="00A81215" w:rsidRDefault="00A81215">
      <w:r>
        <w:separator/>
      </w:r>
    </w:p>
  </w:footnote>
  <w:footnote w:type="continuationSeparator" w:id="0">
    <w:p w14:paraId="513A1362" w14:textId="77777777" w:rsidR="00A81215" w:rsidRDefault="00A812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3604E"/>
    <w:multiLevelType w:val="hybridMultilevel"/>
    <w:tmpl w:val="D1D8CAAA"/>
    <w:lvl w:ilvl="0" w:tplc="8DB27EB8">
      <w:start w:val="1"/>
      <w:numFmt w:val="decimal"/>
      <w:lvlText w:val="%1."/>
      <w:lvlJc w:val="left"/>
      <w:pPr>
        <w:ind w:left="1200" w:hanging="360"/>
        <w:jc w:val="left"/>
      </w:pPr>
      <w:rPr>
        <w:rFonts w:hint="default"/>
        <w:w w:val="100"/>
        <w:lang w:val="en-US" w:eastAsia="en-US" w:bidi="en-US"/>
      </w:rPr>
    </w:lvl>
    <w:lvl w:ilvl="1" w:tplc="BFA8476C">
      <w:start w:val="1"/>
      <w:numFmt w:val="lowerLetter"/>
      <w:lvlText w:val="%2."/>
      <w:lvlJc w:val="left"/>
      <w:pPr>
        <w:ind w:left="1560" w:hanging="360"/>
        <w:jc w:val="left"/>
      </w:pPr>
      <w:rPr>
        <w:rFonts w:hint="default"/>
        <w:b/>
        <w:bCs/>
        <w:spacing w:val="-1"/>
        <w:w w:val="100"/>
        <w:lang w:val="en-US" w:eastAsia="en-US" w:bidi="en-US"/>
      </w:rPr>
    </w:lvl>
    <w:lvl w:ilvl="2" w:tplc="735AC544">
      <w:start w:val="1"/>
      <w:numFmt w:val="upperLetter"/>
      <w:lvlText w:val="%3)"/>
      <w:lvlJc w:val="left"/>
      <w:pPr>
        <w:ind w:left="1920" w:hanging="360"/>
        <w:jc w:val="left"/>
      </w:pPr>
      <w:rPr>
        <w:rFonts w:ascii="Calibri" w:eastAsia="Calibri" w:hAnsi="Calibri" w:cs="Calibri" w:hint="default"/>
        <w:spacing w:val="-1"/>
        <w:w w:val="100"/>
        <w:sz w:val="22"/>
        <w:szCs w:val="22"/>
        <w:lang w:val="en-US" w:eastAsia="en-US" w:bidi="en-US"/>
      </w:rPr>
    </w:lvl>
    <w:lvl w:ilvl="3" w:tplc="3744BD82">
      <w:start w:val="1"/>
      <w:numFmt w:val="lowerRoman"/>
      <w:lvlText w:val="%4."/>
      <w:lvlJc w:val="left"/>
      <w:pPr>
        <w:ind w:left="2846" w:hanging="207"/>
        <w:jc w:val="left"/>
      </w:pPr>
      <w:rPr>
        <w:rFonts w:ascii="Calibri" w:eastAsia="Calibri" w:hAnsi="Calibri" w:cs="Calibri" w:hint="default"/>
        <w:w w:val="100"/>
        <w:sz w:val="22"/>
        <w:szCs w:val="22"/>
        <w:lang w:val="en-US" w:eastAsia="en-US" w:bidi="en-US"/>
      </w:rPr>
    </w:lvl>
    <w:lvl w:ilvl="4" w:tplc="D076C926">
      <w:numFmt w:val="bullet"/>
      <w:lvlText w:val="•"/>
      <w:lvlJc w:val="left"/>
      <w:pPr>
        <w:ind w:left="3860" w:hanging="207"/>
      </w:pPr>
      <w:rPr>
        <w:rFonts w:hint="default"/>
        <w:lang w:val="en-US" w:eastAsia="en-US" w:bidi="en-US"/>
      </w:rPr>
    </w:lvl>
    <w:lvl w:ilvl="5" w:tplc="35520E52">
      <w:numFmt w:val="bullet"/>
      <w:lvlText w:val="•"/>
      <w:lvlJc w:val="left"/>
      <w:pPr>
        <w:ind w:left="4880" w:hanging="207"/>
      </w:pPr>
      <w:rPr>
        <w:rFonts w:hint="default"/>
        <w:lang w:val="en-US" w:eastAsia="en-US" w:bidi="en-US"/>
      </w:rPr>
    </w:lvl>
    <w:lvl w:ilvl="6" w:tplc="B24EDDD8">
      <w:numFmt w:val="bullet"/>
      <w:lvlText w:val="•"/>
      <w:lvlJc w:val="left"/>
      <w:pPr>
        <w:ind w:left="5900" w:hanging="207"/>
      </w:pPr>
      <w:rPr>
        <w:rFonts w:hint="default"/>
        <w:lang w:val="en-US" w:eastAsia="en-US" w:bidi="en-US"/>
      </w:rPr>
    </w:lvl>
    <w:lvl w:ilvl="7" w:tplc="24A67560">
      <w:numFmt w:val="bullet"/>
      <w:lvlText w:val="•"/>
      <w:lvlJc w:val="left"/>
      <w:pPr>
        <w:ind w:left="6920" w:hanging="207"/>
      </w:pPr>
      <w:rPr>
        <w:rFonts w:hint="default"/>
        <w:lang w:val="en-US" w:eastAsia="en-US" w:bidi="en-US"/>
      </w:rPr>
    </w:lvl>
    <w:lvl w:ilvl="8" w:tplc="6C28B2D8">
      <w:numFmt w:val="bullet"/>
      <w:lvlText w:val="•"/>
      <w:lvlJc w:val="left"/>
      <w:pPr>
        <w:ind w:left="7940" w:hanging="207"/>
      </w:pPr>
      <w:rPr>
        <w:rFonts w:hint="default"/>
        <w:lang w:val="en-US" w:eastAsia="en-US" w:bidi="en-US"/>
      </w:rPr>
    </w:lvl>
  </w:abstractNum>
  <w:abstractNum w:abstractNumId="1" w15:restartNumberingAfterBreak="0">
    <w:nsid w:val="7E3641BB"/>
    <w:multiLevelType w:val="hybridMultilevel"/>
    <w:tmpl w:val="C712A934"/>
    <w:lvl w:ilvl="0" w:tplc="D728BC26">
      <w:start w:val="1"/>
      <w:numFmt w:val="decimal"/>
      <w:lvlText w:val="(%1)"/>
      <w:lvlJc w:val="left"/>
      <w:pPr>
        <w:ind w:left="1866" w:hanging="307"/>
        <w:jc w:val="left"/>
      </w:pPr>
      <w:rPr>
        <w:rFonts w:ascii="Calibri" w:eastAsia="Calibri" w:hAnsi="Calibri" w:cs="Calibri" w:hint="default"/>
        <w:spacing w:val="0"/>
        <w:w w:val="100"/>
        <w:sz w:val="22"/>
        <w:szCs w:val="22"/>
        <w:lang w:val="en-US" w:eastAsia="en-US" w:bidi="en-US"/>
      </w:rPr>
    </w:lvl>
    <w:lvl w:ilvl="1" w:tplc="9DBCBA94">
      <w:numFmt w:val="bullet"/>
      <w:lvlText w:val="•"/>
      <w:lvlJc w:val="left"/>
      <w:pPr>
        <w:ind w:left="1920" w:hanging="307"/>
      </w:pPr>
      <w:rPr>
        <w:rFonts w:hint="default"/>
        <w:lang w:val="en-US" w:eastAsia="en-US" w:bidi="en-US"/>
      </w:rPr>
    </w:lvl>
    <w:lvl w:ilvl="2" w:tplc="68DE778E">
      <w:numFmt w:val="bullet"/>
      <w:lvlText w:val="•"/>
      <w:lvlJc w:val="left"/>
      <w:pPr>
        <w:ind w:left="2815" w:hanging="307"/>
      </w:pPr>
      <w:rPr>
        <w:rFonts w:hint="default"/>
        <w:lang w:val="en-US" w:eastAsia="en-US" w:bidi="en-US"/>
      </w:rPr>
    </w:lvl>
    <w:lvl w:ilvl="3" w:tplc="E0E07A70">
      <w:numFmt w:val="bullet"/>
      <w:lvlText w:val="•"/>
      <w:lvlJc w:val="left"/>
      <w:pPr>
        <w:ind w:left="3711" w:hanging="307"/>
      </w:pPr>
      <w:rPr>
        <w:rFonts w:hint="default"/>
        <w:lang w:val="en-US" w:eastAsia="en-US" w:bidi="en-US"/>
      </w:rPr>
    </w:lvl>
    <w:lvl w:ilvl="4" w:tplc="888856FA">
      <w:numFmt w:val="bullet"/>
      <w:lvlText w:val="•"/>
      <w:lvlJc w:val="left"/>
      <w:pPr>
        <w:ind w:left="4606" w:hanging="307"/>
      </w:pPr>
      <w:rPr>
        <w:rFonts w:hint="default"/>
        <w:lang w:val="en-US" w:eastAsia="en-US" w:bidi="en-US"/>
      </w:rPr>
    </w:lvl>
    <w:lvl w:ilvl="5" w:tplc="1E367432">
      <w:numFmt w:val="bullet"/>
      <w:lvlText w:val="•"/>
      <w:lvlJc w:val="left"/>
      <w:pPr>
        <w:ind w:left="5502" w:hanging="307"/>
      </w:pPr>
      <w:rPr>
        <w:rFonts w:hint="default"/>
        <w:lang w:val="en-US" w:eastAsia="en-US" w:bidi="en-US"/>
      </w:rPr>
    </w:lvl>
    <w:lvl w:ilvl="6" w:tplc="120A9032">
      <w:numFmt w:val="bullet"/>
      <w:lvlText w:val="•"/>
      <w:lvlJc w:val="left"/>
      <w:pPr>
        <w:ind w:left="6397" w:hanging="307"/>
      </w:pPr>
      <w:rPr>
        <w:rFonts w:hint="default"/>
        <w:lang w:val="en-US" w:eastAsia="en-US" w:bidi="en-US"/>
      </w:rPr>
    </w:lvl>
    <w:lvl w:ilvl="7" w:tplc="2FCC136E">
      <w:numFmt w:val="bullet"/>
      <w:lvlText w:val="•"/>
      <w:lvlJc w:val="left"/>
      <w:pPr>
        <w:ind w:left="7293" w:hanging="307"/>
      </w:pPr>
      <w:rPr>
        <w:rFonts w:hint="default"/>
        <w:lang w:val="en-US" w:eastAsia="en-US" w:bidi="en-US"/>
      </w:rPr>
    </w:lvl>
    <w:lvl w:ilvl="8" w:tplc="B414157A">
      <w:numFmt w:val="bullet"/>
      <w:lvlText w:val="•"/>
      <w:lvlJc w:val="left"/>
      <w:pPr>
        <w:ind w:left="8188" w:hanging="307"/>
      </w:pPr>
      <w:rPr>
        <w:rFonts w:hint="default"/>
        <w:lang w:val="en-US" w:eastAsia="en-US" w:bidi="en-US"/>
      </w:rPr>
    </w:lvl>
  </w:abstractNum>
  <w:num w:numId="1" w16cid:durableId="1430193972">
    <w:abstractNumId w:val="1"/>
  </w:num>
  <w:num w:numId="2" w16cid:durableId="5347364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7CF"/>
    <w:rsid w:val="00040244"/>
    <w:rsid w:val="00143B21"/>
    <w:rsid w:val="002A2CDC"/>
    <w:rsid w:val="00352365"/>
    <w:rsid w:val="003A40A2"/>
    <w:rsid w:val="003C75E8"/>
    <w:rsid w:val="004538BB"/>
    <w:rsid w:val="004856BB"/>
    <w:rsid w:val="004879AA"/>
    <w:rsid w:val="004F4B63"/>
    <w:rsid w:val="005041EC"/>
    <w:rsid w:val="00545684"/>
    <w:rsid w:val="00557154"/>
    <w:rsid w:val="0057392B"/>
    <w:rsid w:val="00686490"/>
    <w:rsid w:val="00A46FEB"/>
    <w:rsid w:val="00A73825"/>
    <w:rsid w:val="00A81215"/>
    <w:rsid w:val="00D11563"/>
    <w:rsid w:val="00E32600"/>
    <w:rsid w:val="00EB106D"/>
    <w:rsid w:val="00F11C20"/>
    <w:rsid w:val="00FF37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909885"/>
  <w15:docId w15:val="{53F9319D-A44E-4CE8-B07E-530DEB50C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bidi="en-US"/>
    </w:rPr>
  </w:style>
  <w:style w:type="paragraph" w:styleId="Heading1">
    <w:name w:val="heading 1"/>
    <w:basedOn w:val="Normal"/>
    <w:uiPriority w:val="9"/>
    <w:qFormat/>
    <w:pPr>
      <w:ind w:left="1560" w:hanging="361"/>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920" w:hanging="360"/>
    </w:pPr>
  </w:style>
  <w:style w:type="paragraph" w:styleId="ListParagraph">
    <w:name w:val="List Paragraph"/>
    <w:basedOn w:val="Normal"/>
    <w:uiPriority w:val="1"/>
    <w:qFormat/>
    <w:pPr>
      <w:ind w:left="192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CourtOrderClaims@solano.courts.ca.gov"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EA5766-CDD3-497A-9B67-26EFE927A6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1110</Words>
  <Characters>6331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Shappy, Agnes C.</dc:creator>
  <cp:lastModifiedBy>Ybarra, Marcos</cp:lastModifiedBy>
  <cp:revision>3</cp:revision>
  <dcterms:created xsi:type="dcterms:W3CDTF">2026-03-12T21:47:00Z</dcterms:created>
  <dcterms:modified xsi:type="dcterms:W3CDTF">2026-03-12T21:47:00Z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2025-01-17T00:00:00Z</vt:filetime>
  </property>
  <property fmtid="{D5CDD505-2E9C-101B-9397-08002B2CF9AE}" pid="3" name="Creator">
    <vt:lpwstr>Microsoft® Word LTSC</vt:lpwstr>
  </property>
  <property fmtid="{D5CDD505-2E9C-101B-9397-08002B2CF9AE}" pid="4" name="LastSaved">
    <vt:filetime>2026-01-29T00:00:00Z</vt:filetime>
  </property>
</Properties>
</file>