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56D44" w14:textId="77777777" w:rsidR="00E517DA" w:rsidRDefault="00E517DA" w:rsidP="00E517DA"/>
    <w:p w14:paraId="311E80E8" w14:textId="77777777" w:rsidR="0014593A" w:rsidRDefault="0014593A" w:rsidP="00E517DA"/>
    <w:p w14:paraId="3911EAD6" w14:textId="6BFA6A79" w:rsidR="0014593A" w:rsidRPr="00E24900" w:rsidRDefault="0014593A" w:rsidP="0014593A">
      <w:pPr>
        <w:pStyle w:val="Heading1"/>
        <w:spacing w:before="279"/>
        <w:ind w:left="790" w:right="690"/>
        <w:jc w:val="center"/>
        <w:rPr>
          <w:sz w:val="24"/>
          <w:szCs w:val="24"/>
        </w:rPr>
      </w:pPr>
      <w:r w:rsidRPr="00E24900">
        <w:rPr>
          <w:sz w:val="24"/>
          <w:szCs w:val="24"/>
        </w:rPr>
        <w:t>PUBLIC NOTICE</w:t>
      </w:r>
    </w:p>
    <w:p w14:paraId="12362AFC" w14:textId="1D924474" w:rsidR="0014593A" w:rsidRPr="00E24900" w:rsidRDefault="0014593A" w:rsidP="00BB4A42">
      <w:pPr>
        <w:spacing w:before="2"/>
        <w:ind w:left="507"/>
        <w:jc w:val="center"/>
        <w:rPr>
          <w:rFonts w:ascii="Arial" w:hAnsi="Arial" w:cs="Arial"/>
          <w:b/>
          <w:sz w:val="24"/>
          <w:szCs w:val="24"/>
        </w:rPr>
      </w:pPr>
      <w:r w:rsidRPr="00E24900">
        <w:rPr>
          <w:rFonts w:ascii="Arial" w:hAnsi="Arial" w:cs="Arial"/>
          <w:b/>
          <w:sz w:val="24"/>
          <w:szCs w:val="24"/>
        </w:rPr>
        <w:t>SUPERIOR COURT OF SANTA BARBARA</w:t>
      </w:r>
    </w:p>
    <w:p w14:paraId="67A4D1CF" w14:textId="16442AB4" w:rsidR="0014593A" w:rsidRPr="000D2832" w:rsidRDefault="000D2832" w:rsidP="000D2832">
      <w:pPr>
        <w:pStyle w:val="BodyText"/>
        <w:ind w:left="790" w:right="682"/>
        <w:jc w:val="center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July</w:t>
      </w:r>
      <w:r w:rsidR="0014593A" w:rsidRPr="00E24900">
        <w:rPr>
          <w:rFonts w:ascii="Arial" w:hAnsi="Arial" w:cs="Arial"/>
          <w:sz w:val="24"/>
          <w:szCs w:val="24"/>
          <w:u w:val="none"/>
        </w:rPr>
        <w:t xml:space="preserve"> </w:t>
      </w:r>
      <w:r w:rsidR="00002B55">
        <w:rPr>
          <w:rFonts w:ascii="Arial" w:hAnsi="Arial" w:cs="Arial"/>
          <w:sz w:val="24"/>
          <w:szCs w:val="24"/>
          <w:u w:val="none"/>
        </w:rPr>
        <w:t>27</w:t>
      </w:r>
      <w:r w:rsidR="0014593A" w:rsidRPr="00E24900">
        <w:rPr>
          <w:rFonts w:ascii="Arial" w:hAnsi="Arial" w:cs="Arial"/>
          <w:sz w:val="24"/>
          <w:szCs w:val="24"/>
          <w:u w:val="none"/>
        </w:rPr>
        <w:t>, 202</w:t>
      </w:r>
      <w:r>
        <w:rPr>
          <w:rFonts w:ascii="Arial" w:hAnsi="Arial" w:cs="Arial"/>
          <w:sz w:val="24"/>
          <w:szCs w:val="24"/>
          <w:u w:val="none"/>
        </w:rPr>
        <w:t>6</w:t>
      </w:r>
    </w:p>
    <w:p w14:paraId="6DDE5CD9" w14:textId="77777777" w:rsidR="000D2832" w:rsidRDefault="000D2832" w:rsidP="000D2832">
      <w:pPr>
        <w:jc w:val="both"/>
        <w:rPr>
          <w:rFonts w:ascii="Arial" w:hAnsi="Arial" w:cs="Arial"/>
          <w:sz w:val="24"/>
          <w:szCs w:val="24"/>
          <w:u w:color="000000"/>
        </w:rPr>
      </w:pPr>
    </w:p>
    <w:p w14:paraId="534A7F17" w14:textId="6668F66E" w:rsidR="001D2E06" w:rsidRPr="001D2E06" w:rsidRDefault="001D2E06" w:rsidP="000D2832">
      <w:pPr>
        <w:jc w:val="both"/>
        <w:rPr>
          <w:rFonts w:ascii="Arial" w:hAnsi="Arial" w:cs="Arial"/>
          <w:sz w:val="23"/>
          <w:szCs w:val="23"/>
          <w:u w:color="000000"/>
        </w:rPr>
      </w:pPr>
      <w:r w:rsidRPr="001D2E06">
        <w:rPr>
          <w:rFonts w:ascii="Arial" w:hAnsi="Arial" w:cs="Arial"/>
          <w:sz w:val="23"/>
          <w:szCs w:val="23"/>
          <w:u w:color="000000"/>
        </w:rPr>
        <w:t xml:space="preserve">Pursuant to </w:t>
      </w:r>
      <w:hyperlink r:id="rId11" w:history="1">
        <w:r w:rsidRPr="00D375E2">
          <w:rPr>
            <w:rStyle w:val="Hyperlink"/>
            <w:rFonts w:ascii="Arial" w:hAnsi="Arial" w:cs="Arial"/>
            <w:sz w:val="23"/>
            <w:szCs w:val="23"/>
          </w:rPr>
          <w:t>California Rule of Court 10.620(f),</w:t>
        </w:r>
      </w:hyperlink>
      <w:r w:rsidRPr="001D2E06">
        <w:rPr>
          <w:rFonts w:ascii="Arial" w:hAnsi="Arial" w:cs="Arial"/>
          <w:sz w:val="23"/>
          <w:szCs w:val="23"/>
          <w:u w:color="000000"/>
        </w:rPr>
        <w:t xml:space="preserve"> the Superior Court of Santa Barbara provides notice that it has received its annual trial court budget allocation from the Judicial Council following enactment of the 2026 Budget Act. </w:t>
      </w:r>
      <w:r w:rsidR="00CC55AA">
        <w:rPr>
          <w:rFonts w:ascii="Arial" w:hAnsi="Arial" w:cs="Arial"/>
          <w:sz w:val="23"/>
          <w:szCs w:val="23"/>
          <w:u w:color="000000"/>
        </w:rPr>
        <w:t xml:space="preserve">The </w:t>
      </w:r>
      <w:r w:rsidRPr="001D2E06">
        <w:rPr>
          <w:rFonts w:ascii="Arial" w:hAnsi="Arial" w:cs="Arial"/>
          <w:sz w:val="23"/>
          <w:szCs w:val="23"/>
          <w:u w:color="000000"/>
        </w:rPr>
        <w:t>Fiscal Year (FY) 2026–27 allocation reports are available through the links below and on the</w:t>
      </w:r>
      <w:r w:rsidRPr="004B5549">
        <w:rPr>
          <w:rFonts w:ascii="Arial" w:hAnsi="Arial" w:cs="Arial"/>
          <w:sz w:val="23"/>
          <w:szCs w:val="23"/>
          <w:u w:color="000000"/>
        </w:rPr>
        <w:t xml:space="preserve"> </w:t>
      </w:r>
      <w:hyperlink r:id="rId12" w:history="1">
        <w:r w:rsidR="000D2832" w:rsidRPr="004B5549">
          <w:rPr>
            <w:rStyle w:val="Hyperlink"/>
            <w:rFonts w:ascii="Arial" w:hAnsi="Arial" w:cs="Arial"/>
            <w:sz w:val="23"/>
            <w:szCs w:val="23"/>
          </w:rPr>
          <w:t>California Courts website</w:t>
        </w:r>
      </w:hyperlink>
      <w:r w:rsidR="000D2832" w:rsidRPr="004B5549">
        <w:rPr>
          <w:rFonts w:ascii="Arial" w:hAnsi="Arial" w:cs="Arial"/>
          <w:sz w:val="23"/>
          <w:szCs w:val="23"/>
          <w:u w:color="000000"/>
        </w:rPr>
        <w:t>:</w:t>
      </w:r>
    </w:p>
    <w:p w14:paraId="5DA2BACC" w14:textId="096FA6BC" w:rsidR="000D2832" w:rsidRPr="000D2832" w:rsidRDefault="000D2832" w:rsidP="000D2832">
      <w:pPr>
        <w:numPr>
          <w:ilvl w:val="0"/>
          <w:numId w:val="9"/>
        </w:numPr>
        <w:jc w:val="both"/>
        <w:rPr>
          <w:rFonts w:ascii="Arial" w:hAnsi="Arial" w:cs="Arial"/>
          <w:u w:color="000000"/>
        </w:rPr>
      </w:pPr>
      <w:hyperlink r:id="rId13" w:history="1">
        <w:r w:rsidRPr="000D2832">
          <w:rPr>
            <w:rStyle w:val="Hyperlink"/>
            <w:rFonts w:ascii="Arial" w:hAnsi="Arial" w:cs="Arial"/>
          </w:rPr>
          <w:t>Trial Court Budget: Allocations for Trial Court Operations for Fiscal Year 2026–27</w:t>
        </w:r>
      </w:hyperlink>
    </w:p>
    <w:p w14:paraId="5C228B9A" w14:textId="5C1FE6F3" w:rsidR="000D2832" w:rsidRPr="000D2832" w:rsidRDefault="000D2832" w:rsidP="000D2832">
      <w:pPr>
        <w:numPr>
          <w:ilvl w:val="0"/>
          <w:numId w:val="8"/>
        </w:numPr>
        <w:jc w:val="both"/>
        <w:rPr>
          <w:rFonts w:ascii="Arial" w:hAnsi="Arial" w:cs="Arial"/>
          <w:u w:color="000000"/>
        </w:rPr>
      </w:pPr>
      <w:hyperlink r:id="rId14" w:history="1">
        <w:r w:rsidRPr="000D2832">
          <w:rPr>
            <w:rStyle w:val="Hyperlink"/>
            <w:rFonts w:ascii="Arial" w:hAnsi="Arial" w:cs="Arial"/>
          </w:rPr>
          <w:t>Trial Court Budget: Fiscal Year 2026–27 Allocation of Community Assistance, Recovery,</w:t>
        </w:r>
      </w:hyperlink>
      <w:r w:rsidRPr="000D2832">
        <w:rPr>
          <w:rFonts w:ascii="Arial" w:hAnsi="Arial" w:cs="Arial"/>
          <w:u w:color="000000"/>
        </w:rPr>
        <w:t xml:space="preserve"> </w:t>
      </w:r>
      <w:hyperlink r:id="rId15" w:history="1">
        <w:r w:rsidRPr="000D2832">
          <w:rPr>
            <w:rStyle w:val="Hyperlink"/>
            <w:rFonts w:ascii="Arial" w:hAnsi="Arial" w:cs="Arial"/>
          </w:rPr>
          <w:t>and Empowerment (CARE) Act Funding</w:t>
        </w:r>
      </w:hyperlink>
    </w:p>
    <w:p w14:paraId="58C27116" w14:textId="7625DA31" w:rsidR="000D2832" w:rsidRPr="000D2832" w:rsidRDefault="000D2832" w:rsidP="000D2832">
      <w:pPr>
        <w:numPr>
          <w:ilvl w:val="0"/>
          <w:numId w:val="7"/>
        </w:numPr>
        <w:jc w:val="both"/>
        <w:rPr>
          <w:rFonts w:ascii="Arial" w:hAnsi="Arial" w:cs="Arial"/>
          <w:u w:color="000000"/>
        </w:rPr>
      </w:pPr>
      <w:hyperlink r:id="rId16" w:history="1">
        <w:r w:rsidRPr="000D2832">
          <w:rPr>
            <w:rStyle w:val="Hyperlink"/>
            <w:rFonts w:ascii="Arial" w:hAnsi="Arial" w:cs="Arial"/>
          </w:rPr>
          <w:t>Trial Court Budget: State Trial Court Improvement and Modernization Fund Allocations for</w:t>
        </w:r>
      </w:hyperlink>
      <w:r w:rsidRPr="000D2832">
        <w:rPr>
          <w:rFonts w:ascii="Arial" w:hAnsi="Arial" w:cs="Arial"/>
          <w:u w:color="000000"/>
        </w:rPr>
        <w:t xml:space="preserve"> </w:t>
      </w:r>
      <w:hyperlink r:id="rId17" w:history="1">
        <w:r w:rsidRPr="000D2832">
          <w:rPr>
            <w:rStyle w:val="Hyperlink"/>
            <w:rFonts w:ascii="Arial" w:hAnsi="Arial" w:cs="Arial"/>
          </w:rPr>
          <w:t>Fiscal Year 2026–27</w:t>
        </w:r>
      </w:hyperlink>
    </w:p>
    <w:p w14:paraId="664EBCA1" w14:textId="7C956A02" w:rsidR="000D2832" w:rsidRPr="000D2832" w:rsidRDefault="000D2832" w:rsidP="000D2832">
      <w:pPr>
        <w:numPr>
          <w:ilvl w:val="0"/>
          <w:numId w:val="6"/>
        </w:numPr>
        <w:jc w:val="both"/>
        <w:rPr>
          <w:rFonts w:ascii="Arial" w:hAnsi="Arial" w:cs="Arial"/>
          <w:u w:color="000000"/>
        </w:rPr>
      </w:pPr>
      <w:hyperlink r:id="rId18" w:history="1">
        <w:r w:rsidRPr="000D2832">
          <w:rPr>
            <w:rStyle w:val="Hyperlink"/>
            <w:rFonts w:ascii="Arial" w:hAnsi="Arial" w:cs="Arial"/>
          </w:rPr>
          <w:t>Allocations and Reimbursements to Trial Courts: Pretrial Release Funding and Allocation</w:t>
        </w:r>
      </w:hyperlink>
      <w:r w:rsidRPr="000D2832">
        <w:rPr>
          <w:rFonts w:ascii="Arial" w:hAnsi="Arial" w:cs="Arial"/>
          <w:u w:color="000000"/>
        </w:rPr>
        <w:t xml:space="preserve"> </w:t>
      </w:r>
      <w:hyperlink r:id="rId19" w:history="1">
        <w:r w:rsidRPr="000D2832">
          <w:rPr>
            <w:rStyle w:val="Hyperlink"/>
            <w:rFonts w:ascii="Arial" w:hAnsi="Arial" w:cs="Arial"/>
          </w:rPr>
          <w:t>Methodology</w:t>
        </w:r>
      </w:hyperlink>
    </w:p>
    <w:p w14:paraId="31976445" w14:textId="41A3C7AE" w:rsidR="000D2832" w:rsidRPr="000D2832" w:rsidRDefault="000D2832" w:rsidP="000D2832">
      <w:pPr>
        <w:numPr>
          <w:ilvl w:val="0"/>
          <w:numId w:val="5"/>
        </w:numPr>
        <w:jc w:val="both"/>
        <w:rPr>
          <w:rFonts w:ascii="Arial" w:hAnsi="Arial" w:cs="Arial"/>
          <w:u w:color="000000"/>
        </w:rPr>
      </w:pPr>
      <w:hyperlink r:id="rId20" w:history="1">
        <w:r w:rsidRPr="000D2832">
          <w:rPr>
            <w:rStyle w:val="Hyperlink"/>
            <w:rFonts w:ascii="Arial" w:hAnsi="Arial" w:cs="Arial"/>
          </w:rPr>
          <w:t>Allocations and Reimbursements to Trial Courts: Funding for Court Reporters in Family Law</w:t>
        </w:r>
      </w:hyperlink>
      <w:r w:rsidRPr="000D2832">
        <w:rPr>
          <w:rFonts w:ascii="Arial" w:hAnsi="Arial" w:cs="Arial"/>
          <w:u w:color="000000"/>
        </w:rPr>
        <w:t xml:space="preserve"> </w:t>
      </w:r>
      <w:hyperlink r:id="rId21" w:history="1">
        <w:r w:rsidRPr="000D2832">
          <w:rPr>
            <w:rStyle w:val="Hyperlink"/>
            <w:rFonts w:ascii="Arial" w:hAnsi="Arial" w:cs="Arial"/>
          </w:rPr>
          <w:t>and Civil Law Case Types for Fiscal Year 2026–27</w:t>
        </w:r>
      </w:hyperlink>
    </w:p>
    <w:p w14:paraId="31B02983" w14:textId="0F4ECE35" w:rsidR="000D2832" w:rsidRPr="000D2832" w:rsidRDefault="000D2832" w:rsidP="000D2832">
      <w:pPr>
        <w:numPr>
          <w:ilvl w:val="0"/>
          <w:numId w:val="4"/>
        </w:numPr>
        <w:jc w:val="both"/>
        <w:rPr>
          <w:rFonts w:ascii="Arial" w:hAnsi="Arial" w:cs="Arial"/>
          <w:u w:color="000000"/>
        </w:rPr>
      </w:pPr>
      <w:hyperlink r:id="rId22" w:history="1">
        <w:r w:rsidRPr="000D2832">
          <w:rPr>
            <w:rStyle w:val="Hyperlink"/>
            <w:rFonts w:ascii="Arial" w:hAnsi="Arial" w:cs="Arial"/>
          </w:rPr>
          <w:t>Trial Court Budget: Fiscal Year 2026–27 Allocation of Court-Appointed Juvenile</w:t>
        </w:r>
      </w:hyperlink>
      <w:r w:rsidRPr="000D2832">
        <w:rPr>
          <w:rFonts w:ascii="Arial" w:hAnsi="Arial" w:cs="Arial"/>
          <w:u w:color="000000"/>
        </w:rPr>
        <w:t xml:space="preserve"> </w:t>
      </w:r>
      <w:hyperlink r:id="rId23" w:history="1">
        <w:r w:rsidRPr="000D2832">
          <w:rPr>
            <w:rStyle w:val="Hyperlink"/>
            <w:rFonts w:ascii="Arial" w:hAnsi="Arial" w:cs="Arial"/>
          </w:rPr>
          <w:t>Dependency Counsel Funding</w:t>
        </w:r>
      </w:hyperlink>
    </w:p>
    <w:p w14:paraId="61AE6D09" w14:textId="0CCC3E5C" w:rsidR="000D2832" w:rsidRDefault="000D2832" w:rsidP="000D2832">
      <w:pPr>
        <w:numPr>
          <w:ilvl w:val="0"/>
          <w:numId w:val="3"/>
        </w:numPr>
        <w:jc w:val="both"/>
        <w:rPr>
          <w:rFonts w:ascii="Arial" w:hAnsi="Arial" w:cs="Arial"/>
          <w:u w:color="000000"/>
        </w:rPr>
      </w:pPr>
      <w:hyperlink r:id="rId24" w:history="1">
        <w:r w:rsidRPr="000D2832">
          <w:rPr>
            <w:rStyle w:val="Hyperlink"/>
            <w:rFonts w:ascii="Arial" w:hAnsi="Arial" w:cs="Arial"/>
          </w:rPr>
          <w:t>Child Support: Assembly Bill 1058 Child Support Commissioner and Family Law Facilitator</w:t>
        </w:r>
      </w:hyperlink>
      <w:r w:rsidRPr="000D2832">
        <w:rPr>
          <w:rFonts w:ascii="Arial" w:hAnsi="Arial" w:cs="Arial"/>
          <w:u w:color="000000"/>
        </w:rPr>
        <w:t xml:space="preserve"> </w:t>
      </w:r>
      <w:hyperlink r:id="rId25" w:history="1">
        <w:r w:rsidRPr="000D2832">
          <w:rPr>
            <w:rStyle w:val="Hyperlink"/>
            <w:rFonts w:ascii="Arial" w:hAnsi="Arial" w:cs="Arial"/>
          </w:rPr>
          <w:t>Program Funding for Fiscal Year 2026–27</w:t>
        </w:r>
      </w:hyperlink>
    </w:p>
    <w:p w14:paraId="7964AE37" w14:textId="77777777" w:rsidR="000D2832" w:rsidRPr="000D2832" w:rsidRDefault="000D2832" w:rsidP="000D2832">
      <w:pPr>
        <w:ind w:left="360"/>
        <w:jc w:val="both"/>
        <w:rPr>
          <w:rFonts w:ascii="Arial" w:hAnsi="Arial" w:cs="Arial"/>
          <w:u w:color="000000"/>
        </w:rPr>
      </w:pPr>
    </w:p>
    <w:p w14:paraId="5B57F6B9" w14:textId="5ADFD824" w:rsidR="004C27B8" w:rsidRPr="00235F9B" w:rsidRDefault="000D2832" w:rsidP="000D2832">
      <w:pPr>
        <w:jc w:val="both"/>
        <w:rPr>
          <w:rFonts w:ascii="Arial" w:hAnsi="Arial" w:cs="Arial"/>
          <w:sz w:val="23"/>
          <w:szCs w:val="23"/>
          <w:u w:color="000000"/>
        </w:rPr>
      </w:pPr>
      <w:hyperlink r:id="rId26" w:history="1">
        <w:r w:rsidRPr="00D375E2">
          <w:rPr>
            <w:rStyle w:val="Hyperlink"/>
            <w:rFonts w:ascii="Arial" w:hAnsi="Arial" w:cs="Arial"/>
            <w:sz w:val="23"/>
            <w:szCs w:val="23"/>
          </w:rPr>
          <w:t>California Rule of Court 10.620(f),</w:t>
        </w:r>
      </w:hyperlink>
      <w:r w:rsidRPr="00235F9B">
        <w:rPr>
          <w:rFonts w:ascii="Arial" w:hAnsi="Arial" w:cs="Arial"/>
          <w:sz w:val="23"/>
          <w:szCs w:val="23"/>
          <w:u w:color="000000"/>
        </w:rPr>
        <w:t xml:space="preserve"> </w:t>
      </w:r>
      <w:r w:rsidRPr="000D2832">
        <w:rPr>
          <w:rFonts w:ascii="Arial" w:hAnsi="Arial" w:cs="Arial"/>
          <w:sz w:val="23"/>
          <w:szCs w:val="23"/>
          <w:u w:color="000000"/>
        </w:rPr>
        <w:t>which governs public access to administrative decisions of the trial courts, requires each court to provide public notice no later than 15 court days after</w:t>
      </w:r>
      <w:r w:rsidR="007023D9">
        <w:rPr>
          <w:rFonts w:ascii="Arial" w:hAnsi="Arial" w:cs="Arial"/>
          <w:sz w:val="23"/>
          <w:szCs w:val="23"/>
          <w:u w:color="000000"/>
        </w:rPr>
        <w:t xml:space="preserve"> </w:t>
      </w:r>
      <w:r w:rsidR="007023D9" w:rsidRPr="007023D9">
        <w:rPr>
          <w:rFonts w:ascii="Arial" w:hAnsi="Arial" w:cs="Arial"/>
          <w:sz w:val="23"/>
          <w:szCs w:val="23"/>
          <w:u w:color="000000"/>
        </w:rPr>
        <w:t>receiving the annual allocation of the trial court budget from the Judicial Council following enactment of the</w:t>
      </w:r>
      <w:r w:rsidR="001D2E06">
        <w:rPr>
          <w:rFonts w:ascii="Arial" w:hAnsi="Arial" w:cs="Arial"/>
          <w:sz w:val="23"/>
          <w:szCs w:val="23"/>
          <w:u w:color="000000"/>
        </w:rPr>
        <w:t xml:space="preserve"> 2026</w:t>
      </w:r>
      <w:r w:rsidR="007023D9" w:rsidRPr="007023D9">
        <w:rPr>
          <w:rFonts w:ascii="Arial" w:hAnsi="Arial" w:cs="Arial"/>
          <w:sz w:val="23"/>
          <w:szCs w:val="23"/>
          <w:u w:color="000000"/>
        </w:rPr>
        <w:t xml:space="preserve"> </w:t>
      </w:r>
      <w:r w:rsidR="001D2E06">
        <w:rPr>
          <w:rFonts w:ascii="Arial" w:hAnsi="Arial" w:cs="Arial"/>
          <w:sz w:val="23"/>
          <w:szCs w:val="23"/>
          <w:u w:color="000000"/>
        </w:rPr>
        <w:t>B</w:t>
      </w:r>
      <w:r w:rsidR="007023D9" w:rsidRPr="007023D9">
        <w:rPr>
          <w:rFonts w:ascii="Arial" w:hAnsi="Arial" w:cs="Arial"/>
          <w:sz w:val="23"/>
          <w:szCs w:val="23"/>
          <w:u w:color="000000"/>
        </w:rPr>
        <w:t xml:space="preserve">udget </w:t>
      </w:r>
      <w:r w:rsidR="001D2E06">
        <w:rPr>
          <w:rFonts w:ascii="Arial" w:hAnsi="Arial" w:cs="Arial"/>
          <w:sz w:val="23"/>
          <w:szCs w:val="23"/>
          <w:u w:color="000000"/>
        </w:rPr>
        <w:t>A</w:t>
      </w:r>
      <w:r w:rsidR="007023D9" w:rsidRPr="007023D9">
        <w:rPr>
          <w:rFonts w:ascii="Arial" w:hAnsi="Arial" w:cs="Arial"/>
          <w:sz w:val="23"/>
          <w:szCs w:val="23"/>
          <w:u w:color="000000"/>
        </w:rPr>
        <w:t xml:space="preserve">ct.  </w:t>
      </w:r>
    </w:p>
    <w:p w14:paraId="449640E7" w14:textId="304A22C1" w:rsidR="0014593A" w:rsidRPr="00235F9B" w:rsidRDefault="001D2E06" w:rsidP="00CC00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Members of the public </w:t>
      </w:r>
      <w:r w:rsidR="0014593A" w:rsidRPr="00235F9B">
        <w:rPr>
          <w:rFonts w:ascii="Arial" w:hAnsi="Arial" w:cs="Arial"/>
          <w:sz w:val="23"/>
          <w:szCs w:val="23"/>
        </w:rPr>
        <w:t>may submi</w:t>
      </w:r>
      <w:r>
        <w:rPr>
          <w:rFonts w:ascii="Arial" w:hAnsi="Arial" w:cs="Arial"/>
          <w:sz w:val="23"/>
          <w:szCs w:val="23"/>
        </w:rPr>
        <w:t xml:space="preserve">t comments </w:t>
      </w:r>
      <w:r w:rsidR="0014593A" w:rsidRPr="00235F9B">
        <w:rPr>
          <w:rFonts w:ascii="Arial" w:hAnsi="Arial" w:cs="Arial"/>
          <w:sz w:val="23"/>
          <w:szCs w:val="23"/>
        </w:rPr>
        <w:t xml:space="preserve">electronically to </w:t>
      </w:r>
      <w:hyperlink r:id="rId27">
        <w:r w:rsidR="0014593A" w:rsidRPr="00235F9B">
          <w:rPr>
            <w:rFonts w:ascii="Arial" w:hAnsi="Arial" w:cs="Arial"/>
            <w:color w:val="0000FF"/>
            <w:sz w:val="23"/>
            <w:szCs w:val="23"/>
            <w:u w:color="0000FF"/>
          </w:rPr>
          <w:t>budgetinfo@sbcourts.org</w:t>
        </w:r>
        <w:r w:rsidR="0014593A" w:rsidRPr="00235F9B">
          <w:rPr>
            <w:rFonts w:ascii="Arial" w:hAnsi="Arial" w:cs="Arial"/>
            <w:color w:val="0000FF"/>
            <w:sz w:val="23"/>
            <w:szCs w:val="23"/>
          </w:rPr>
          <w:t xml:space="preserve"> </w:t>
        </w:r>
        <w:r w:rsidR="0014593A" w:rsidRPr="00235F9B">
          <w:rPr>
            <w:rFonts w:ascii="Arial" w:hAnsi="Arial" w:cs="Arial"/>
            <w:sz w:val="23"/>
            <w:szCs w:val="23"/>
          </w:rPr>
          <w:t xml:space="preserve">or </w:t>
        </w:r>
      </w:hyperlink>
      <w:r w:rsidR="0014593A" w:rsidRPr="00235F9B">
        <w:rPr>
          <w:rFonts w:ascii="Arial" w:hAnsi="Arial" w:cs="Arial"/>
          <w:sz w:val="23"/>
          <w:szCs w:val="23"/>
        </w:rPr>
        <w:t>mailed to:</w:t>
      </w:r>
    </w:p>
    <w:p w14:paraId="16121D7F" w14:textId="53681439" w:rsidR="00504497" w:rsidRPr="00235F9B" w:rsidRDefault="000C1BB7" w:rsidP="00504497">
      <w:pPr>
        <w:spacing w:after="0" w:line="240" w:lineRule="auto"/>
        <w:rPr>
          <w:rFonts w:ascii="Arial" w:eastAsia="Aptos" w:hAnsi="Arial" w:cs="Arial"/>
          <w:color w:val="000000"/>
          <w:sz w:val="23"/>
          <w:szCs w:val="23"/>
        </w:rPr>
      </w:pPr>
      <w:r w:rsidRPr="00235F9B">
        <w:rPr>
          <w:rFonts w:ascii="Arial" w:eastAsia="Aptos" w:hAnsi="Arial" w:cs="Arial"/>
          <w:color w:val="000000"/>
          <w:sz w:val="23"/>
          <w:szCs w:val="23"/>
        </w:rPr>
        <w:t xml:space="preserve">Attn: </w:t>
      </w:r>
      <w:r w:rsidR="00504497" w:rsidRPr="00235F9B">
        <w:rPr>
          <w:rFonts w:ascii="Arial" w:eastAsia="Aptos" w:hAnsi="Arial" w:cs="Arial"/>
          <w:color w:val="000000"/>
          <w:sz w:val="23"/>
          <w:szCs w:val="23"/>
        </w:rPr>
        <w:t>Marcos Ybarra</w:t>
      </w:r>
    </w:p>
    <w:p w14:paraId="50025F49" w14:textId="77777777" w:rsidR="00504497" w:rsidRPr="00235F9B" w:rsidRDefault="00504497" w:rsidP="00504497">
      <w:pPr>
        <w:shd w:val="clear" w:color="auto" w:fill="FFFFFF"/>
        <w:spacing w:after="0" w:line="240" w:lineRule="auto"/>
        <w:rPr>
          <w:rFonts w:ascii="Arial" w:eastAsia="Aptos" w:hAnsi="Arial" w:cs="Arial"/>
          <w:color w:val="000000"/>
          <w:sz w:val="23"/>
          <w:szCs w:val="23"/>
          <w:shd w:val="clear" w:color="auto" w:fill="FFFFFF"/>
        </w:rPr>
      </w:pPr>
      <w:r w:rsidRPr="00235F9B">
        <w:rPr>
          <w:rFonts w:ascii="Arial" w:eastAsia="Aptos" w:hAnsi="Arial" w:cs="Arial"/>
          <w:color w:val="000000"/>
          <w:sz w:val="23"/>
          <w:szCs w:val="23"/>
          <w:shd w:val="clear" w:color="auto" w:fill="FFFFFF"/>
        </w:rPr>
        <w:t>Chief Financial Officer</w:t>
      </w:r>
    </w:p>
    <w:p w14:paraId="060E5EAC" w14:textId="77777777" w:rsidR="00504497" w:rsidRPr="00235F9B" w:rsidRDefault="00504497" w:rsidP="00504497">
      <w:pPr>
        <w:shd w:val="clear" w:color="auto" w:fill="FFFFFF"/>
        <w:spacing w:after="0" w:line="240" w:lineRule="auto"/>
        <w:rPr>
          <w:rFonts w:ascii="Arial" w:eastAsia="Aptos" w:hAnsi="Arial" w:cs="Arial"/>
          <w:color w:val="000000"/>
          <w:sz w:val="23"/>
          <w:szCs w:val="23"/>
          <w:shd w:val="clear" w:color="auto" w:fill="FFFFFF"/>
        </w:rPr>
      </w:pPr>
      <w:r w:rsidRPr="00235F9B">
        <w:rPr>
          <w:rFonts w:ascii="Arial" w:eastAsia="Aptos" w:hAnsi="Arial" w:cs="Arial"/>
          <w:color w:val="000000"/>
          <w:sz w:val="23"/>
          <w:szCs w:val="23"/>
          <w:shd w:val="clear" w:color="auto" w:fill="FFFFFF"/>
        </w:rPr>
        <w:t>Superior Court of Santa Barbara</w:t>
      </w:r>
    </w:p>
    <w:p w14:paraId="332B1710" w14:textId="6B186045" w:rsidR="000C1BB7" w:rsidRDefault="000C1BB7" w:rsidP="00504497">
      <w:pPr>
        <w:shd w:val="clear" w:color="auto" w:fill="FFFFFF"/>
        <w:spacing w:after="0" w:line="240" w:lineRule="auto"/>
        <w:rPr>
          <w:rFonts w:ascii="Arial" w:eastAsia="Aptos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ptos" w:hAnsi="Arial" w:cs="Arial"/>
          <w:color w:val="000000"/>
          <w:sz w:val="24"/>
          <w:szCs w:val="24"/>
          <w:shd w:val="clear" w:color="auto" w:fill="FFFFFF"/>
        </w:rPr>
        <w:t>1100 Anacapa S</w:t>
      </w:r>
      <w:r w:rsidR="008F5855">
        <w:rPr>
          <w:rFonts w:ascii="Arial" w:eastAsia="Aptos" w:hAnsi="Arial" w:cs="Arial"/>
          <w:color w:val="000000"/>
          <w:sz w:val="24"/>
          <w:szCs w:val="24"/>
          <w:shd w:val="clear" w:color="auto" w:fill="FFFFFF"/>
        </w:rPr>
        <w:t>t, Fl 2</w:t>
      </w:r>
      <w:r w:rsidR="001343D8">
        <w:rPr>
          <w:rFonts w:ascii="Arial" w:eastAsia="Aptos" w:hAnsi="Arial" w:cs="Arial"/>
          <w:color w:val="000000"/>
          <w:sz w:val="24"/>
          <w:szCs w:val="24"/>
          <w:shd w:val="clear" w:color="auto" w:fill="FFFFFF"/>
        </w:rPr>
        <w:t xml:space="preserve"> – Finance</w:t>
      </w:r>
    </w:p>
    <w:p w14:paraId="13DAF251" w14:textId="6AE690D4" w:rsidR="001343D8" w:rsidRPr="00504497" w:rsidRDefault="001343D8" w:rsidP="00504497">
      <w:pPr>
        <w:shd w:val="clear" w:color="auto" w:fill="FFFFFF"/>
        <w:spacing w:after="0" w:line="240" w:lineRule="auto"/>
        <w:rPr>
          <w:rFonts w:ascii="Arial" w:eastAsia="Aptos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ptos" w:hAnsi="Arial" w:cs="Arial"/>
          <w:color w:val="000000"/>
          <w:sz w:val="24"/>
          <w:szCs w:val="24"/>
          <w:shd w:val="clear" w:color="auto" w:fill="FFFFFF"/>
        </w:rPr>
        <w:t>Santa Barbara, CA 93101</w:t>
      </w:r>
    </w:p>
    <w:sectPr w:rsidR="001343D8" w:rsidRPr="00504497" w:rsidSect="00457593">
      <w:headerReference w:type="default" r:id="rId28"/>
      <w:footerReference w:type="default" r:id="rId29"/>
      <w:pgSz w:w="12240" w:h="15840"/>
      <w:pgMar w:top="1440" w:right="1440" w:bottom="1440" w:left="1440" w:header="720" w:footer="2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7A7FA" w14:textId="77777777" w:rsidR="00C5473D" w:rsidRDefault="00C5473D">
      <w:pPr>
        <w:spacing w:after="0" w:line="240" w:lineRule="auto"/>
      </w:pPr>
      <w:r>
        <w:separator/>
      </w:r>
    </w:p>
  </w:endnote>
  <w:endnote w:type="continuationSeparator" w:id="0">
    <w:p w14:paraId="3E86202B" w14:textId="77777777" w:rsidR="00C5473D" w:rsidRDefault="00C54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9C86" w14:textId="4B37D636" w:rsidR="00C97996" w:rsidRPr="00601073" w:rsidRDefault="00E517DA" w:rsidP="00601073">
    <w:pPr>
      <w:pStyle w:val="Header"/>
      <w:pBdr>
        <w:top w:val="single" w:sz="18" w:space="1" w:color="2F5496" w:themeColor="accent1" w:themeShade="BF"/>
      </w:pBdr>
      <w:tabs>
        <w:tab w:val="clear" w:pos="9360"/>
        <w:tab w:val="right" w:pos="9990"/>
      </w:tabs>
      <w:ind w:left="-810" w:right="-630"/>
      <w:rPr>
        <w:rFonts w:ascii="Garamond" w:hAnsi="Garamond" w:cs="Arial"/>
        <w:b/>
        <w:bCs/>
      </w:rPr>
    </w:pPr>
    <w:r w:rsidRPr="0040744E">
      <w:rPr>
        <w:rFonts w:ascii="Garamond" w:hAnsi="Garamond" w:cs="Arial"/>
        <w:b/>
        <w:bCs/>
        <w:noProof/>
      </w:rPr>
      <w:drawing>
        <wp:anchor distT="0" distB="0" distL="114300" distR="114300" simplePos="0" relativeHeight="251660288" behindDoc="1" locked="0" layoutInCell="1" allowOverlap="1" wp14:anchorId="0B437B7E" wp14:editId="36E53783">
          <wp:simplePos x="0" y="0"/>
          <wp:positionH relativeFrom="column">
            <wp:posOffset>993609</wp:posOffset>
          </wp:positionH>
          <wp:positionV relativeFrom="page">
            <wp:posOffset>86995</wp:posOffset>
          </wp:positionV>
          <wp:extent cx="3963874" cy="1526651"/>
          <wp:effectExtent l="0" t="0" r="0" b="0"/>
          <wp:wrapNone/>
          <wp:docPr id="873574900" name="Picture 873574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3874" cy="15266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744E">
      <w:rPr>
        <w:rFonts w:ascii="Garamond" w:hAnsi="Garamond" w:cs="Arial"/>
        <w:b/>
        <w:bCs/>
      </w:rPr>
      <w:t xml:space="preserve">Judge </w:t>
    </w:r>
    <w:r w:rsidR="00C97996">
      <w:rPr>
        <w:rFonts w:ascii="Garamond" w:hAnsi="Garamond" w:cs="Arial"/>
        <w:b/>
        <w:bCs/>
      </w:rPr>
      <w:t>Patricia Kelly</w:t>
    </w:r>
    <w:r>
      <w:rPr>
        <w:rFonts w:ascii="Garamond" w:hAnsi="Garamond" w:cs="Arial"/>
        <w:b/>
        <w:bCs/>
      </w:rPr>
      <w:t xml:space="preserve"> </w:t>
    </w:r>
    <w:r>
      <w:rPr>
        <w:rFonts w:ascii="Garamond" w:hAnsi="Garamond" w:cs="Arial"/>
        <w:b/>
        <w:bCs/>
      </w:rPr>
      <w:tab/>
    </w:r>
    <w:r w:rsidRPr="00601073">
      <w:rPr>
        <w:rFonts w:ascii="Garamond" w:hAnsi="Garamond" w:cs="Arial"/>
      </w:rPr>
      <w:t>1100 Anacapa Street</w:t>
    </w:r>
    <w:r>
      <w:rPr>
        <w:rFonts w:ascii="Garamond" w:hAnsi="Garamond" w:cs="Arial"/>
        <w:b/>
        <w:bCs/>
      </w:rPr>
      <w:tab/>
    </w:r>
    <w:r w:rsidR="00EF34EA">
      <w:rPr>
        <w:rFonts w:ascii="Garamond" w:hAnsi="Garamond" w:cs="Arial"/>
        <w:b/>
        <w:bCs/>
      </w:rPr>
      <w:t>Angela Braun</w:t>
    </w:r>
    <w:r>
      <w:rPr>
        <w:rFonts w:ascii="Garamond" w:hAnsi="Garamond" w:cs="Arial"/>
        <w:i/>
        <w:iCs/>
      </w:rPr>
      <w:t xml:space="preserve"> </w:t>
    </w:r>
  </w:p>
  <w:p w14:paraId="2CD6C288" w14:textId="77777777" w:rsidR="00C97996" w:rsidRPr="00457593" w:rsidRDefault="00E517DA" w:rsidP="00457593">
    <w:pPr>
      <w:pStyle w:val="Header"/>
      <w:tabs>
        <w:tab w:val="clear" w:pos="9360"/>
        <w:tab w:val="right" w:pos="9990"/>
      </w:tabs>
      <w:ind w:left="-810" w:right="-630"/>
      <w:rPr>
        <w:rFonts w:ascii="Garamond" w:hAnsi="Garamond" w:cs="Arial"/>
        <w:i/>
        <w:iCs/>
      </w:rPr>
    </w:pPr>
    <w:r w:rsidRPr="0040744E">
      <w:rPr>
        <w:rFonts w:ascii="Garamond" w:hAnsi="Garamond" w:cs="Arial"/>
        <w:i/>
        <w:iCs/>
      </w:rPr>
      <w:t>Presiding Judge</w:t>
    </w:r>
    <w:r>
      <w:rPr>
        <w:rFonts w:ascii="Garamond" w:hAnsi="Garamond" w:cs="Arial"/>
        <w:i/>
        <w:iCs/>
      </w:rPr>
      <w:t xml:space="preserve"> </w:t>
    </w:r>
    <w:r>
      <w:rPr>
        <w:rFonts w:ascii="Garamond" w:hAnsi="Garamond" w:cs="Arial"/>
        <w:i/>
        <w:iCs/>
      </w:rPr>
      <w:tab/>
    </w:r>
    <w:r w:rsidRPr="00601073">
      <w:rPr>
        <w:rFonts w:ascii="Garamond" w:hAnsi="Garamond" w:cs="Arial"/>
      </w:rPr>
      <w:t>Santa Barbara, CA 93101</w:t>
    </w:r>
    <w:r>
      <w:rPr>
        <w:rFonts w:ascii="Garamond" w:hAnsi="Garamond" w:cs="Arial"/>
        <w:i/>
        <w:iCs/>
      </w:rPr>
      <w:tab/>
      <w:t>Court Executive Officer</w:t>
    </w:r>
  </w:p>
  <w:p w14:paraId="45F1AD01" w14:textId="77777777" w:rsidR="00C97996" w:rsidRDefault="00C97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8ADA" w14:textId="77777777" w:rsidR="00C5473D" w:rsidRDefault="00C5473D">
      <w:pPr>
        <w:spacing w:after="0" w:line="240" w:lineRule="auto"/>
      </w:pPr>
      <w:r>
        <w:separator/>
      </w:r>
    </w:p>
  </w:footnote>
  <w:footnote w:type="continuationSeparator" w:id="0">
    <w:p w14:paraId="3A32FF62" w14:textId="77777777" w:rsidR="00C5473D" w:rsidRDefault="00C54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DFAD" w14:textId="77777777" w:rsidR="00C97996" w:rsidRDefault="00C97996" w:rsidP="007E5E15">
    <w:pPr>
      <w:pStyle w:val="Header"/>
      <w:tabs>
        <w:tab w:val="clear" w:pos="9360"/>
        <w:tab w:val="right" w:pos="9990"/>
      </w:tabs>
      <w:ind w:left="-810"/>
      <w:rPr>
        <w:rFonts w:ascii="Garamond" w:hAnsi="Garamond" w:cs="Arial"/>
        <w:b/>
        <w:bCs/>
      </w:rPr>
    </w:pPr>
    <w:bookmarkStart w:id="0" w:name="_Hlk165364565"/>
    <w:bookmarkStart w:id="1" w:name="_Hlk165364566"/>
  </w:p>
  <w:p w14:paraId="45ACA4F9" w14:textId="16D2DD86" w:rsidR="00C97996" w:rsidRPr="0040744E" w:rsidRDefault="00E517DA" w:rsidP="007E5E15">
    <w:pPr>
      <w:pStyle w:val="Header"/>
      <w:tabs>
        <w:tab w:val="clear" w:pos="9360"/>
        <w:tab w:val="right" w:pos="9990"/>
      </w:tabs>
      <w:ind w:left="-810"/>
      <w:rPr>
        <w:rFonts w:ascii="Garamond" w:hAnsi="Garamond" w:cs="Arial"/>
        <w:i/>
        <w:iCs/>
      </w:rPr>
    </w:pPr>
    <w:r w:rsidRPr="0040744E">
      <w:rPr>
        <w:rFonts w:ascii="Garamond" w:hAnsi="Garamond" w:cs="Arial"/>
        <w:b/>
        <w:bCs/>
        <w:noProof/>
      </w:rPr>
      <w:drawing>
        <wp:anchor distT="0" distB="0" distL="114300" distR="114300" simplePos="0" relativeHeight="251659264" behindDoc="1" locked="0" layoutInCell="1" allowOverlap="1" wp14:anchorId="5E843A47" wp14:editId="11BC98ED">
          <wp:simplePos x="0" y="0"/>
          <wp:positionH relativeFrom="column">
            <wp:posOffset>993609</wp:posOffset>
          </wp:positionH>
          <wp:positionV relativeFrom="page">
            <wp:posOffset>86995</wp:posOffset>
          </wp:positionV>
          <wp:extent cx="3963874" cy="1526651"/>
          <wp:effectExtent l="0" t="0" r="0" b="0"/>
          <wp:wrapNone/>
          <wp:docPr id="1418283213" name="Picture 1418283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3874" cy="15266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  <w:p w14:paraId="0B41B5FC" w14:textId="77777777" w:rsidR="00C97996" w:rsidRDefault="00C97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60" w:hanging="360"/>
      </w:pPr>
    </w:lvl>
    <w:lvl w:ilvl="2">
      <w:numFmt w:val="bullet"/>
      <w:lvlText w:val="•"/>
      <w:lvlJc w:val="left"/>
      <w:pPr>
        <w:ind w:left="2160" w:hanging="360"/>
      </w:pPr>
    </w:lvl>
    <w:lvl w:ilvl="3">
      <w:numFmt w:val="bullet"/>
      <w:lvlText w:val="•"/>
      <w:lvlJc w:val="left"/>
      <w:pPr>
        <w:ind w:left="3060" w:hanging="360"/>
      </w:pPr>
    </w:lvl>
    <w:lvl w:ilvl="4">
      <w:numFmt w:val="bullet"/>
      <w:lvlText w:val="•"/>
      <w:lvlJc w:val="left"/>
      <w:pPr>
        <w:ind w:left="3960" w:hanging="360"/>
      </w:pPr>
    </w:lvl>
    <w:lvl w:ilvl="5">
      <w:numFmt w:val="bullet"/>
      <w:lvlText w:val="•"/>
      <w:lvlJc w:val="left"/>
      <w:pPr>
        <w:ind w:left="4860" w:hanging="360"/>
      </w:pPr>
    </w:lvl>
    <w:lvl w:ilvl="6">
      <w:numFmt w:val="bullet"/>
      <w:lvlText w:val="•"/>
      <w:lvlJc w:val="left"/>
      <w:pPr>
        <w:ind w:left="5760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560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60" w:hanging="360"/>
      </w:pPr>
    </w:lvl>
    <w:lvl w:ilvl="2">
      <w:numFmt w:val="bullet"/>
      <w:lvlText w:val="•"/>
      <w:lvlJc w:val="left"/>
      <w:pPr>
        <w:ind w:left="2160" w:hanging="360"/>
      </w:pPr>
    </w:lvl>
    <w:lvl w:ilvl="3">
      <w:numFmt w:val="bullet"/>
      <w:lvlText w:val="•"/>
      <w:lvlJc w:val="left"/>
      <w:pPr>
        <w:ind w:left="3060" w:hanging="360"/>
      </w:pPr>
    </w:lvl>
    <w:lvl w:ilvl="4">
      <w:numFmt w:val="bullet"/>
      <w:lvlText w:val="•"/>
      <w:lvlJc w:val="left"/>
      <w:pPr>
        <w:ind w:left="3960" w:hanging="360"/>
      </w:pPr>
    </w:lvl>
    <w:lvl w:ilvl="5">
      <w:numFmt w:val="bullet"/>
      <w:lvlText w:val="•"/>
      <w:lvlJc w:val="left"/>
      <w:pPr>
        <w:ind w:left="4860" w:hanging="360"/>
      </w:pPr>
    </w:lvl>
    <w:lvl w:ilvl="6">
      <w:numFmt w:val="bullet"/>
      <w:lvlText w:val="•"/>
      <w:lvlJc w:val="left"/>
      <w:pPr>
        <w:ind w:left="5760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560" w:hanging="36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60" w:hanging="360"/>
      </w:pPr>
    </w:lvl>
    <w:lvl w:ilvl="2">
      <w:numFmt w:val="bullet"/>
      <w:lvlText w:val="•"/>
      <w:lvlJc w:val="left"/>
      <w:pPr>
        <w:ind w:left="2160" w:hanging="360"/>
      </w:pPr>
    </w:lvl>
    <w:lvl w:ilvl="3">
      <w:numFmt w:val="bullet"/>
      <w:lvlText w:val="•"/>
      <w:lvlJc w:val="left"/>
      <w:pPr>
        <w:ind w:left="3060" w:hanging="360"/>
      </w:pPr>
    </w:lvl>
    <w:lvl w:ilvl="4">
      <w:numFmt w:val="bullet"/>
      <w:lvlText w:val="•"/>
      <w:lvlJc w:val="left"/>
      <w:pPr>
        <w:ind w:left="3960" w:hanging="360"/>
      </w:pPr>
    </w:lvl>
    <w:lvl w:ilvl="5">
      <w:numFmt w:val="bullet"/>
      <w:lvlText w:val="•"/>
      <w:lvlJc w:val="left"/>
      <w:pPr>
        <w:ind w:left="4860" w:hanging="360"/>
      </w:pPr>
    </w:lvl>
    <w:lvl w:ilvl="6">
      <w:numFmt w:val="bullet"/>
      <w:lvlText w:val="•"/>
      <w:lvlJc w:val="left"/>
      <w:pPr>
        <w:ind w:left="5760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560" w:hanging="360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60" w:hanging="360"/>
      </w:pPr>
    </w:lvl>
    <w:lvl w:ilvl="2">
      <w:numFmt w:val="bullet"/>
      <w:lvlText w:val="•"/>
      <w:lvlJc w:val="left"/>
      <w:pPr>
        <w:ind w:left="2160" w:hanging="360"/>
      </w:pPr>
    </w:lvl>
    <w:lvl w:ilvl="3">
      <w:numFmt w:val="bullet"/>
      <w:lvlText w:val="•"/>
      <w:lvlJc w:val="left"/>
      <w:pPr>
        <w:ind w:left="3060" w:hanging="360"/>
      </w:pPr>
    </w:lvl>
    <w:lvl w:ilvl="4">
      <w:numFmt w:val="bullet"/>
      <w:lvlText w:val="•"/>
      <w:lvlJc w:val="left"/>
      <w:pPr>
        <w:ind w:left="3960" w:hanging="360"/>
      </w:pPr>
    </w:lvl>
    <w:lvl w:ilvl="5">
      <w:numFmt w:val="bullet"/>
      <w:lvlText w:val="•"/>
      <w:lvlJc w:val="left"/>
      <w:pPr>
        <w:ind w:left="4860" w:hanging="360"/>
      </w:pPr>
    </w:lvl>
    <w:lvl w:ilvl="6">
      <w:numFmt w:val="bullet"/>
      <w:lvlText w:val="•"/>
      <w:lvlJc w:val="left"/>
      <w:pPr>
        <w:ind w:left="5760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560" w:hanging="360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60" w:hanging="360"/>
      </w:pPr>
    </w:lvl>
    <w:lvl w:ilvl="2">
      <w:numFmt w:val="bullet"/>
      <w:lvlText w:val="•"/>
      <w:lvlJc w:val="left"/>
      <w:pPr>
        <w:ind w:left="2160" w:hanging="360"/>
      </w:pPr>
    </w:lvl>
    <w:lvl w:ilvl="3">
      <w:numFmt w:val="bullet"/>
      <w:lvlText w:val="•"/>
      <w:lvlJc w:val="left"/>
      <w:pPr>
        <w:ind w:left="3060" w:hanging="360"/>
      </w:pPr>
    </w:lvl>
    <w:lvl w:ilvl="4">
      <w:numFmt w:val="bullet"/>
      <w:lvlText w:val="•"/>
      <w:lvlJc w:val="left"/>
      <w:pPr>
        <w:ind w:left="3960" w:hanging="360"/>
      </w:pPr>
    </w:lvl>
    <w:lvl w:ilvl="5">
      <w:numFmt w:val="bullet"/>
      <w:lvlText w:val="•"/>
      <w:lvlJc w:val="left"/>
      <w:pPr>
        <w:ind w:left="4860" w:hanging="360"/>
      </w:pPr>
    </w:lvl>
    <w:lvl w:ilvl="6">
      <w:numFmt w:val="bullet"/>
      <w:lvlText w:val="•"/>
      <w:lvlJc w:val="left"/>
      <w:pPr>
        <w:ind w:left="5760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560" w:hanging="360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60" w:hanging="360"/>
      </w:pPr>
    </w:lvl>
    <w:lvl w:ilvl="2">
      <w:numFmt w:val="bullet"/>
      <w:lvlText w:val="•"/>
      <w:lvlJc w:val="left"/>
      <w:pPr>
        <w:ind w:left="2160" w:hanging="360"/>
      </w:pPr>
    </w:lvl>
    <w:lvl w:ilvl="3">
      <w:numFmt w:val="bullet"/>
      <w:lvlText w:val="•"/>
      <w:lvlJc w:val="left"/>
      <w:pPr>
        <w:ind w:left="3060" w:hanging="360"/>
      </w:pPr>
    </w:lvl>
    <w:lvl w:ilvl="4">
      <w:numFmt w:val="bullet"/>
      <w:lvlText w:val="•"/>
      <w:lvlJc w:val="left"/>
      <w:pPr>
        <w:ind w:left="3960" w:hanging="360"/>
      </w:pPr>
    </w:lvl>
    <w:lvl w:ilvl="5">
      <w:numFmt w:val="bullet"/>
      <w:lvlText w:val="•"/>
      <w:lvlJc w:val="left"/>
      <w:pPr>
        <w:ind w:left="4860" w:hanging="360"/>
      </w:pPr>
    </w:lvl>
    <w:lvl w:ilvl="6">
      <w:numFmt w:val="bullet"/>
      <w:lvlText w:val="•"/>
      <w:lvlJc w:val="left"/>
      <w:pPr>
        <w:ind w:left="5760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560" w:hanging="360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60" w:hanging="360"/>
      </w:pPr>
    </w:lvl>
    <w:lvl w:ilvl="2">
      <w:numFmt w:val="bullet"/>
      <w:lvlText w:val="•"/>
      <w:lvlJc w:val="left"/>
      <w:pPr>
        <w:ind w:left="2160" w:hanging="360"/>
      </w:pPr>
    </w:lvl>
    <w:lvl w:ilvl="3">
      <w:numFmt w:val="bullet"/>
      <w:lvlText w:val="•"/>
      <w:lvlJc w:val="left"/>
      <w:pPr>
        <w:ind w:left="3060" w:hanging="360"/>
      </w:pPr>
    </w:lvl>
    <w:lvl w:ilvl="4">
      <w:numFmt w:val="bullet"/>
      <w:lvlText w:val="•"/>
      <w:lvlJc w:val="left"/>
      <w:pPr>
        <w:ind w:left="3960" w:hanging="360"/>
      </w:pPr>
    </w:lvl>
    <w:lvl w:ilvl="5">
      <w:numFmt w:val="bullet"/>
      <w:lvlText w:val="•"/>
      <w:lvlJc w:val="left"/>
      <w:pPr>
        <w:ind w:left="4860" w:hanging="360"/>
      </w:pPr>
    </w:lvl>
    <w:lvl w:ilvl="6">
      <w:numFmt w:val="bullet"/>
      <w:lvlText w:val="•"/>
      <w:lvlJc w:val="left"/>
      <w:pPr>
        <w:ind w:left="5760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560" w:hanging="360"/>
      </w:pPr>
    </w:lvl>
  </w:abstractNum>
  <w:abstractNum w:abstractNumId="7" w15:restartNumberingAfterBreak="0">
    <w:nsid w:val="1048449A"/>
    <w:multiLevelType w:val="hybridMultilevel"/>
    <w:tmpl w:val="D198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32DB7"/>
    <w:multiLevelType w:val="hybridMultilevel"/>
    <w:tmpl w:val="402EA5E0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748888172">
    <w:abstractNumId w:val="8"/>
  </w:num>
  <w:num w:numId="2" w16cid:durableId="1671517466">
    <w:abstractNumId w:val="7"/>
  </w:num>
  <w:num w:numId="3" w16cid:durableId="1670520855">
    <w:abstractNumId w:val="6"/>
  </w:num>
  <w:num w:numId="4" w16cid:durableId="1127509622">
    <w:abstractNumId w:val="5"/>
  </w:num>
  <w:num w:numId="5" w16cid:durableId="2089764739">
    <w:abstractNumId w:val="4"/>
  </w:num>
  <w:num w:numId="6" w16cid:durableId="764806155">
    <w:abstractNumId w:val="3"/>
  </w:num>
  <w:num w:numId="7" w16cid:durableId="1100445544">
    <w:abstractNumId w:val="2"/>
  </w:num>
  <w:num w:numId="8" w16cid:durableId="832574242">
    <w:abstractNumId w:val="1"/>
  </w:num>
  <w:num w:numId="9" w16cid:durableId="79830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DA"/>
    <w:rsid w:val="00002B55"/>
    <w:rsid w:val="000A007B"/>
    <w:rsid w:val="000C1BB7"/>
    <w:rsid w:val="000D2832"/>
    <w:rsid w:val="000D2FF5"/>
    <w:rsid w:val="001343D8"/>
    <w:rsid w:val="0014593A"/>
    <w:rsid w:val="00177B9C"/>
    <w:rsid w:val="001D2E06"/>
    <w:rsid w:val="00211F25"/>
    <w:rsid w:val="00235F9B"/>
    <w:rsid w:val="002C4291"/>
    <w:rsid w:val="003B6920"/>
    <w:rsid w:val="003D135D"/>
    <w:rsid w:val="004B5549"/>
    <w:rsid w:val="004C27B8"/>
    <w:rsid w:val="004D6859"/>
    <w:rsid w:val="00504497"/>
    <w:rsid w:val="005807D4"/>
    <w:rsid w:val="006D5281"/>
    <w:rsid w:val="007023D9"/>
    <w:rsid w:val="007613F0"/>
    <w:rsid w:val="007C333A"/>
    <w:rsid w:val="008F53D3"/>
    <w:rsid w:val="008F5855"/>
    <w:rsid w:val="009C4B8F"/>
    <w:rsid w:val="00A80986"/>
    <w:rsid w:val="00B42AA6"/>
    <w:rsid w:val="00B7492A"/>
    <w:rsid w:val="00BB4A42"/>
    <w:rsid w:val="00BB59F0"/>
    <w:rsid w:val="00BE75EF"/>
    <w:rsid w:val="00C5473D"/>
    <w:rsid w:val="00C97996"/>
    <w:rsid w:val="00CC0064"/>
    <w:rsid w:val="00CC55AA"/>
    <w:rsid w:val="00D31AC4"/>
    <w:rsid w:val="00D375E2"/>
    <w:rsid w:val="00D70E69"/>
    <w:rsid w:val="00D8238C"/>
    <w:rsid w:val="00DA4A14"/>
    <w:rsid w:val="00DC3F7C"/>
    <w:rsid w:val="00E24900"/>
    <w:rsid w:val="00E517DA"/>
    <w:rsid w:val="00E545A6"/>
    <w:rsid w:val="00E86083"/>
    <w:rsid w:val="00EE56E5"/>
    <w:rsid w:val="00EF34EA"/>
    <w:rsid w:val="00FB0F1C"/>
    <w:rsid w:val="00FC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F9B6F"/>
  <w15:chartTrackingRefBased/>
  <w15:docId w15:val="{DEE9F1F8-3F13-4295-8CB6-5D6EA500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7DA"/>
  </w:style>
  <w:style w:type="paragraph" w:styleId="Heading1">
    <w:name w:val="heading 1"/>
    <w:basedOn w:val="Normal"/>
    <w:link w:val="Heading1Char"/>
    <w:uiPriority w:val="9"/>
    <w:qFormat/>
    <w:rsid w:val="0014593A"/>
    <w:pPr>
      <w:widowControl w:val="0"/>
      <w:autoSpaceDE w:val="0"/>
      <w:autoSpaceDN w:val="0"/>
      <w:spacing w:before="2" w:after="0" w:line="240" w:lineRule="auto"/>
      <w:ind w:left="507"/>
      <w:outlineLvl w:val="0"/>
    </w:pPr>
    <w:rPr>
      <w:rFonts w:ascii="Arial" w:eastAsia="Arial" w:hAnsi="Arial" w:cs="Arial"/>
      <w:b/>
      <w:b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1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7DA"/>
  </w:style>
  <w:style w:type="paragraph" w:styleId="Footer">
    <w:name w:val="footer"/>
    <w:basedOn w:val="Normal"/>
    <w:link w:val="FooterChar"/>
    <w:uiPriority w:val="99"/>
    <w:unhideWhenUsed/>
    <w:rsid w:val="00E51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7DA"/>
  </w:style>
  <w:style w:type="character" w:customStyle="1" w:styleId="Heading1Char">
    <w:name w:val="Heading 1 Char"/>
    <w:basedOn w:val="DefaultParagraphFont"/>
    <w:link w:val="Heading1"/>
    <w:uiPriority w:val="9"/>
    <w:rsid w:val="0014593A"/>
    <w:rPr>
      <w:rFonts w:ascii="Arial" w:eastAsia="Arial" w:hAnsi="Arial" w:cs="Arial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1459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u w:val="single" w:color="00000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4593A"/>
    <w:rPr>
      <w:rFonts w:ascii="Times New Roman" w:eastAsia="Times New Roman" w:hAnsi="Times New Roman" w:cs="Times New Roman"/>
      <w:u w:val="single" w:color="000000"/>
      <w:lang w:bidi="en-US"/>
    </w:rPr>
  </w:style>
  <w:style w:type="character" w:styleId="Hyperlink">
    <w:name w:val="Hyperlink"/>
    <w:basedOn w:val="DefaultParagraphFont"/>
    <w:uiPriority w:val="99"/>
    <w:unhideWhenUsed/>
    <w:rsid w:val="001459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9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27B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D28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cc.legistar.com/View.ashx?M=F&amp;ID=15658282&amp;GUID=D77E1808-0470-45D7-877B-AD7BB49CF263" TargetMode="External"/><Relationship Id="rId18" Type="http://schemas.openxmlformats.org/officeDocument/2006/relationships/hyperlink" Target="https://jcc.legistar.com/View.ashx?M=F&amp;ID=15676111&amp;GUID=B79239E7-FA66-4117-A8D5-ABB5B70BC5B6" TargetMode="External"/><Relationship Id="rId26" Type="http://schemas.openxmlformats.org/officeDocument/2006/relationships/hyperlink" Target="https://courts.ca.gov/cms/rules/index/ten/rule10_62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jcc.legistar.com/View.ashx?M=F&amp;ID=15669997&amp;GUID=167C2749-C0F8-413D-952A-88A268EF911B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courts.ca.gov/" TargetMode="External"/><Relationship Id="rId17" Type="http://schemas.openxmlformats.org/officeDocument/2006/relationships/hyperlink" Target="https://jcc.legistar.com/View.ashx?M=F&amp;ID=15658210&amp;GUID=CD7084B1-0E73-499E-A937-866839E3CB40" TargetMode="External"/><Relationship Id="rId25" Type="http://schemas.openxmlformats.org/officeDocument/2006/relationships/hyperlink" Target="https://jcc.legistar.com/View.ashx?M=F&amp;ID=15658447&amp;GUID=6BBD34A8-F30C-4771-BF7B-569077D6AC2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cc.legistar.com/View.ashx?M=F&amp;ID=15658210&amp;GUID=CD7084B1-0E73-499E-A937-866839E3CB40" TargetMode="External"/><Relationship Id="rId20" Type="http://schemas.openxmlformats.org/officeDocument/2006/relationships/hyperlink" Target="https://jcc.legistar.com/View.ashx?M=F&amp;ID=15669997&amp;GUID=167C2749-C0F8-413D-952A-88A268EF911B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urts.ca.gov/cms/rules/index/ten/rule10_620" TargetMode="External"/><Relationship Id="rId24" Type="http://schemas.openxmlformats.org/officeDocument/2006/relationships/hyperlink" Target="https://jcc.legistar.com/View.ashx?M=F&amp;ID=15658447&amp;GUID=6BBD34A8-F30C-4771-BF7B-569077D6AC2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cc.legistar.com/View.ashx?M=F&amp;ID=15658451&amp;GUID=2E53C36C-3EF0-4F5B-B2E4-4D3D20F834F7" TargetMode="External"/><Relationship Id="rId23" Type="http://schemas.openxmlformats.org/officeDocument/2006/relationships/hyperlink" Target="https://jcc.legistar.com/View.ashx?M=F&amp;ID=15658354&amp;GUID=1014090F-09A1-4033-8B6F-FAFE50D34D17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jcc.legistar.com/View.ashx?M=F&amp;ID=15676111&amp;GUID=B79239E7-FA66-4117-A8D5-ABB5B70BC5B6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cc.legistar.com/View.ashx?M=F&amp;ID=15658451&amp;GUID=2E53C36C-3EF0-4F5B-B2E4-4D3D20F834F7" TargetMode="External"/><Relationship Id="rId22" Type="http://schemas.openxmlformats.org/officeDocument/2006/relationships/hyperlink" Target="https://jcc.legistar.com/View.ashx?M=F&amp;ID=15658354&amp;GUID=1014090F-09A1-4033-8B6F-FAFE50D34D17" TargetMode="External"/><Relationship Id="rId27" Type="http://schemas.openxmlformats.org/officeDocument/2006/relationships/hyperlink" Target="mailto:budgetinfo@sbcourts.orgor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EC1E9233A2C48915EECD792C533C9" ma:contentTypeVersion="18" ma:contentTypeDescription="Create a new document." ma:contentTypeScope="" ma:versionID="8e1040522c0481753b381144e232a68e">
  <xsd:schema xmlns:xsd="http://www.w3.org/2001/XMLSchema" xmlns:xs="http://www.w3.org/2001/XMLSchema" xmlns:p="http://schemas.microsoft.com/office/2006/metadata/properties" xmlns:ns2="56d76b75-0a28-4e1c-b56e-00a829e78197" xmlns:ns3="a5d93c7b-8488-4ae4-b0cb-04894f1fa267" targetNamespace="http://schemas.microsoft.com/office/2006/metadata/properties" ma:root="true" ma:fieldsID="8032778aa1b26d6f34b8a24417cb8e69" ns2:_="" ns3:_="">
    <xsd:import namespace="56d76b75-0a28-4e1c-b56e-00a829e78197"/>
    <xsd:import namespace="a5d93c7b-8488-4ae4-b0cb-04894f1fa267"/>
    <xsd:element name="properties">
      <xsd:complexType>
        <xsd:sequence>
          <xsd:element name="documentManagement">
            <xsd:complexType>
              <xsd:all>
                <xsd:element ref="ns2:Revis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76b75-0a28-4e1c-b56e-00a829e78197" elementFormDefault="qualified">
    <xsd:import namespace="http://schemas.microsoft.com/office/2006/documentManagement/types"/>
    <xsd:import namespace="http://schemas.microsoft.com/office/infopath/2007/PartnerControls"/>
    <xsd:element name="RevisionDate" ma:index="1" nillable="true" ma:displayName="Revision Date" ma:format="Dropdown" ma:internalName="RevisionDate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7a70a93-8364-4440-acc5-f33e116a1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93c7b-8488-4ae4-b0cb-04894f1fa2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8" nillable="true" ma:displayName="Taxonomy Catch All Column" ma:hidden="true" ma:list="{07b9b7f0-dc80-4caa-b655-450fb271fb7b}" ma:internalName="TaxCatchAll" ma:readOnly="false" ma:showField="CatchAllData" ma:web="a5d93c7b-8488-4ae4-b0cb-04894f1fa2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76b75-0a28-4e1c-b56e-00a829e78197">
      <Terms xmlns="http://schemas.microsoft.com/office/infopath/2007/PartnerControls"/>
    </lcf76f155ced4ddcb4097134ff3c332f>
    <TaxCatchAll xmlns="a5d93c7b-8488-4ae4-b0cb-04894f1fa267" xsi:nil="true"/>
    <RevisionDate xmlns="56d76b75-0a28-4e1c-b56e-00a829e781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BECF49-2E92-400C-A748-6FA8BCBF41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94E2E9-9C10-4199-B3D8-A1E0CDA0D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76b75-0a28-4e1c-b56e-00a829e78197"/>
    <ds:schemaRef ds:uri="a5d93c7b-8488-4ae4-b0cb-04894f1fa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CFD1A2-E081-40A5-8D99-81828B109DE8}">
  <ds:schemaRefs>
    <ds:schemaRef ds:uri="http://schemas.microsoft.com/office/2006/metadata/properties"/>
    <ds:schemaRef ds:uri="http://schemas.microsoft.com/office/infopath/2007/PartnerControls"/>
    <ds:schemaRef ds:uri="56d76b75-0a28-4e1c-b56e-00a829e78197"/>
    <ds:schemaRef ds:uri="a5d93c7b-8488-4ae4-b0cb-04894f1fa267"/>
  </ds:schemaRefs>
</ds:datastoreItem>
</file>

<file path=customXml/itemProps4.xml><?xml version="1.0" encoding="utf-8"?>
<ds:datastoreItem xmlns:ds="http://schemas.openxmlformats.org/officeDocument/2006/customXml" ds:itemID="{C6047555-8B3E-46FB-AA4A-1ED9F00745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Eklund, Sara</dc:creator>
  <cp:keywords/>
  <dc:description/>
  <cp:lastModifiedBy>Gonzalez, Juan</cp:lastModifiedBy>
  <cp:revision>9</cp:revision>
  <dcterms:created xsi:type="dcterms:W3CDTF">2026-07-23T18:21:00Z</dcterms:created>
  <dcterms:modified xsi:type="dcterms:W3CDTF">2026-07-27T18:42:00Z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0x01010017EEC1E9233A2C48915EECD792C533C9</vt:lpwstr>
  </property>
</Properties>
</file>